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605965" w14:textId="77777777" w:rsidR="008B5264" w:rsidRPr="007B4AA4" w:rsidRDefault="008B5264" w:rsidP="008B5264">
      <w:pPr>
        <w:spacing w:after="0" w:line="240" w:lineRule="auto"/>
        <w:jc w:val="center"/>
        <w:rPr>
          <w:rFonts w:ascii="Times New Roman" w:hAnsi="Times New Roman" w:cs="Times New Roman"/>
          <w:b/>
          <w:sz w:val="24"/>
          <w:szCs w:val="24"/>
        </w:rPr>
      </w:pPr>
      <w:r w:rsidRPr="007B4AA4">
        <w:rPr>
          <w:rFonts w:ascii="Times New Roman" w:hAnsi="Times New Roman" w:cs="Times New Roman"/>
          <w:b/>
          <w:sz w:val="24"/>
          <w:szCs w:val="24"/>
        </w:rPr>
        <w:t xml:space="preserve">UNITED STATES DISTRICT COURT </w:t>
      </w:r>
    </w:p>
    <w:p w14:paraId="7E5221CC" w14:textId="77777777" w:rsidR="008B5264" w:rsidRDefault="008B5264" w:rsidP="008B5264">
      <w:pPr>
        <w:spacing w:after="0" w:line="240" w:lineRule="auto"/>
        <w:jc w:val="center"/>
        <w:rPr>
          <w:rFonts w:ascii="Times New Roman" w:hAnsi="Times New Roman" w:cs="Times New Roman"/>
          <w:b/>
          <w:sz w:val="24"/>
          <w:szCs w:val="24"/>
        </w:rPr>
      </w:pPr>
      <w:r w:rsidRPr="007B4AA4">
        <w:rPr>
          <w:rFonts w:ascii="Times New Roman" w:hAnsi="Times New Roman" w:cs="Times New Roman"/>
          <w:b/>
          <w:sz w:val="24"/>
          <w:szCs w:val="24"/>
        </w:rPr>
        <w:t xml:space="preserve">DISTRICT OF MOOT </w:t>
      </w:r>
    </w:p>
    <w:p w14:paraId="2FE79276" w14:textId="77777777" w:rsidR="008B5264" w:rsidRDefault="008B5264" w:rsidP="008B5264">
      <w:pPr>
        <w:spacing w:after="0" w:line="240" w:lineRule="auto"/>
        <w:jc w:val="center"/>
        <w:rPr>
          <w:rFonts w:ascii="Times New Roman" w:eastAsia="Times New Roman" w:hAnsi="Times New Roman" w:cs="Times New Roman"/>
          <w:b/>
          <w:bCs/>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7B549562" wp14:editId="76F3BF1E">
                <wp:simplePos x="0" y="0"/>
                <wp:positionH relativeFrom="column">
                  <wp:posOffset>15903</wp:posOffset>
                </wp:positionH>
                <wp:positionV relativeFrom="paragraph">
                  <wp:posOffset>277302</wp:posOffset>
                </wp:positionV>
                <wp:extent cx="5899315"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589931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pt,21.85pt" to="465.75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" strokecolor="black [3213]"/>
            </w:pict>
          </mc:Fallback>
        </mc:AlternateContent>
      </w:r>
    </w:p>
    <w:p w14:paraId="61EA7C60" w14:textId="77777777" w:rsidR="008B5264" w:rsidRDefault="008B5264" w:rsidP="008B5264">
      <w:pPr>
        <w:spacing w:after="0" w:line="480" w:lineRule="auto"/>
        <w:rPr>
          <w:rFonts w:ascii="Times New Roman" w:eastAsia="Times New Roman" w:hAnsi="Times New Roman" w:cs="Times New Roman"/>
          <w:b/>
          <w:bCs/>
          <w:sz w:val="24"/>
          <w:szCs w:val="24"/>
        </w:rPr>
      </w:pPr>
    </w:p>
    <w:tbl>
      <w:tblPr>
        <w:tblW w:w="0" w:type="auto"/>
        <w:tblLayout w:type="fixed"/>
        <w:tblLook w:val="0000" w:firstRow="0" w:lastRow="0" w:firstColumn="0" w:lastColumn="0" w:noHBand="0" w:noVBand="0"/>
      </w:tblPr>
      <w:tblGrid>
        <w:gridCol w:w="4428"/>
        <w:gridCol w:w="4428"/>
      </w:tblGrid>
      <w:tr w:rsidR="008B5264" w14:paraId="63C51360" w14:textId="77777777" w:rsidTr="001B01DA">
        <w:tc>
          <w:tcPr>
            <w:tcW w:w="4428" w:type="dxa"/>
          </w:tcPr>
          <w:p w14:paraId="7BB261F6" w14:textId="77777777" w:rsidR="008B5264" w:rsidRDefault="008B5264" w:rsidP="001B01DA">
            <w:pPr>
              <w:pStyle w:val="Footer"/>
              <w:widowControl w:val="0"/>
              <w:tabs>
                <w:tab w:val="clear" w:pos="4320"/>
                <w:tab w:val="clear" w:pos="8640"/>
              </w:tabs>
              <w:rPr>
                <w:snapToGrid w:val="0"/>
              </w:rPr>
            </w:pPr>
            <w:r>
              <w:rPr>
                <w:snapToGrid w:val="0"/>
              </w:rPr>
              <w:t>OGS TV, INC.</w:t>
            </w:r>
          </w:p>
          <w:p w14:paraId="05651A93" w14:textId="77777777" w:rsidR="008B5264" w:rsidRDefault="008B5264" w:rsidP="001B01DA">
            <w:pPr>
              <w:pStyle w:val="Footer"/>
              <w:widowControl w:val="0"/>
              <w:tabs>
                <w:tab w:val="clear" w:pos="4320"/>
                <w:tab w:val="clear" w:pos="8640"/>
              </w:tabs>
              <w:rPr>
                <w:snapToGrid w:val="0"/>
              </w:rPr>
            </w:pPr>
            <w:r>
              <w:rPr>
                <w:snapToGrid w:val="0"/>
              </w:rPr>
              <w:t xml:space="preserve">                          Plaintiff</w:t>
            </w:r>
          </w:p>
        </w:tc>
        <w:tc>
          <w:tcPr>
            <w:tcW w:w="4428" w:type="dxa"/>
          </w:tcPr>
          <w:p w14:paraId="12B924CA" w14:textId="77777777" w:rsidR="008B5264" w:rsidRDefault="008B5264" w:rsidP="001B01DA">
            <w:pPr>
              <w:pStyle w:val="Footer"/>
              <w:widowControl w:val="0"/>
              <w:tabs>
                <w:tab w:val="clear" w:pos="4320"/>
                <w:tab w:val="clear" w:pos="8640"/>
              </w:tabs>
              <w:rPr>
                <w:snapToGrid w:val="0"/>
              </w:rPr>
            </w:pPr>
            <w:r>
              <w:rPr>
                <w:snapToGrid w:val="0"/>
              </w:rPr>
              <w:t xml:space="preserve">               Civ. No. 12-02-1234</w:t>
            </w:r>
          </w:p>
        </w:tc>
      </w:tr>
      <w:tr w:rsidR="008B5264" w14:paraId="46898369" w14:textId="77777777" w:rsidTr="001B01DA">
        <w:tc>
          <w:tcPr>
            <w:tcW w:w="4428" w:type="dxa"/>
          </w:tcPr>
          <w:p w14:paraId="1A853A58" w14:textId="77777777" w:rsidR="008B5264" w:rsidRDefault="008B5264" w:rsidP="001B01DA">
            <w:pPr>
              <w:pStyle w:val="Footer"/>
              <w:widowControl w:val="0"/>
              <w:tabs>
                <w:tab w:val="clear" w:pos="4320"/>
                <w:tab w:val="clear" w:pos="8640"/>
              </w:tabs>
              <w:rPr>
                <w:snapToGrid w:val="0"/>
              </w:rPr>
            </w:pPr>
          </w:p>
          <w:p w14:paraId="041C0E1A" w14:textId="77777777" w:rsidR="008B5264" w:rsidRDefault="008B5264" w:rsidP="001B01DA">
            <w:pPr>
              <w:pStyle w:val="Footer"/>
              <w:widowControl w:val="0"/>
              <w:tabs>
                <w:tab w:val="clear" w:pos="4320"/>
                <w:tab w:val="clear" w:pos="8640"/>
              </w:tabs>
              <w:rPr>
                <w:snapToGrid w:val="0"/>
              </w:rPr>
            </w:pPr>
            <w:r>
              <w:rPr>
                <w:snapToGrid w:val="0"/>
              </w:rPr>
              <w:t>v.</w:t>
            </w:r>
          </w:p>
        </w:tc>
        <w:tc>
          <w:tcPr>
            <w:tcW w:w="4428" w:type="dxa"/>
          </w:tcPr>
          <w:p w14:paraId="43559D8A" w14:textId="77777777" w:rsidR="008B5264" w:rsidRDefault="008B5264" w:rsidP="001B01DA"/>
        </w:tc>
      </w:tr>
      <w:tr w:rsidR="008B5264" w14:paraId="0CBDA49C" w14:textId="77777777" w:rsidTr="001B01DA">
        <w:tc>
          <w:tcPr>
            <w:tcW w:w="4428" w:type="dxa"/>
          </w:tcPr>
          <w:p w14:paraId="2483298A" w14:textId="77777777" w:rsidR="008B5264" w:rsidRDefault="008B5264" w:rsidP="001B01DA">
            <w:pPr>
              <w:pStyle w:val="Footer"/>
              <w:widowControl w:val="0"/>
              <w:tabs>
                <w:tab w:val="clear" w:pos="4320"/>
                <w:tab w:val="clear" w:pos="8640"/>
              </w:tabs>
              <w:rPr>
                <w:snapToGrid w:val="0"/>
              </w:rPr>
            </w:pPr>
          </w:p>
          <w:p w14:paraId="56DD572B" w14:textId="77777777" w:rsidR="008B5264" w:rsidRDefault="008B5264" w:rsidP="001B01DA">
            <w:pPr>
              <w:pStyle w:val="Footer"/>
              <w:widowControl w:val="0"/>
              <w:tabs>
                <w:tab w:val="clear" w:pos="4320"/>
                <w:tab w:val="clear" w:pos="8640"/>
              </w:tabs>
              <w:rPr>
                <w:snapToGrid w:val="0"/>
              </w:rPr>
            </w:pPr>
            <w:r>
              <w:rPr>
                <w:snapToGrid w:val="0"/>
              </w:rPr>
              <w:t>Elizabeth Lime and TinyTV, Inc.</w:t>
            </w:r>
          </w:p>
          <w:p w14:paraId="0465E3C4" w14:textId="77777777" w:rsidR="008B5264" w:rsidRDefault="008B5264" w:rsidP="001B01DA">
            <w:pPr>
              <w:pStyle w:val="Footer"/>
              <w:widowControl w:val="0"/>
              <w:tabs>
                <w:tab w:val="clear" w:pos="4320"/>
                <w:tab w:val="clear" w:pos="8640"/>
              </w:tabs>
              <w:rPr>
                <w:snapToGrid w:val="0"/>
              </w:rPr>
            </w:pPr>
            <w:r>
              <w:rPr>
                <w:snapToGrid w:val="0"/>
              </w:rPr>
              <w:t xml:space="preserve">                        </w:t>
            </w:r>
          </w:p>
          <w:p w14:paraId="53DF9332" w14:textId="77777777" w:rsidR="008B5264" w:rsidRDefault="008B5264" w:rsidP="001B01DA">
            <w:pPr>
              <w:pStyle w:val="Footer"/>
              <w:widowControl w:val="0"/>
              <w:tabs>
                <w:tab w:val="clear" w:pos="4320"/>
                <w:tab w:val="clear" w:pos="8640"/>
              </w:tabs>
              <w:rPr>
                <w:snapToGrid w:val="0"/>
              </w:rPr>
            </w:pPr>
            <w:r>
              <w:rPr>
                <w:snapToGrid w:val="0"/>
              </w:rPr>
              <w:t xml:space="preserve">                         Defendants.</w:t>
            </w:r>
          </w:p>
        </w:tc>
        <w:tc>
          <w:tcPr>
            <w:tcW w:w="4428" w:type="dxa"/>
          </w:tcPr>
          <w:p w14:paraId="431EB975" w14:textId="77777777" w:rsidR="008B5264" w:rsidRPr="00003908" w:rsidRDefault="008B5264" w:rsidP="001B01DA">
            <w:pPr>
              <w:rPr>
                <w:rFonts w:ascii="Times New Roman" w:hAnsi="Times New Roman" w:cs="Times New Roman"/>
                <w:b/>
                <w:sz w:val="24"/>
                <w:szCs w:val="24"/>
              </w:rPr>
            </w:pPr>
            <w:r>
              <w:rPr>
                <w:rFonts w:ascii="Times New Roman" w:hAnsi="Times New Roman" w:cs="Times New Roman"/>
                <w:b/>
                <w:sz w:val="24"/>
                <w:szCs w:val="24"/>
              </w:rPr>
              <w:t xml:space="preserve">PLAINTIFF’S MEMORANDUM IN OPPOSITION TO DEFENDANTS’ MOTION TO DISMISS </w:t>
            </w:r>
          </w:p>
        </w:tc>
      </w:tr>
    </w:tbl>
    <w:p w14:paraId="6260A5C0" w14:textId="77777777" w:rsidR="008B5264" w:rsidRDefault="008B5264" w:rsidP="008B5264">
      <w:pPr>
        <w:spacing w:after="0" w:line="240" w:lineRule="auto"/>
        <w:rPr>
          <w:rFonts w:ascii="Times New Roman" w:eastAsia="Times New Roman" w:hAnsi="Times New Roman" w:cs="Times New Roman"/>
          <w:b/>
          <w:bCs/>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1" allowOverlap="1" wp14:anchorId="7FF7DF1A" wp14:editId="6336D65D">
                <wp:simplePos x="0" y="0"/>
                <wp:positionH relativeFrom="column">
                  <wp:posOffset>-31750</wp:posOffset>
                </wp:positionH>
                <wp:positionV relativeFrom="paragraph">
                  <wp:posOffset>165100</wp:posOffset>
                </wp:positionV>
                <wp:extent cx="589915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589915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3pt" to="46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" strokecolor="black [3213]"/>
            </w:pict>
          </mc:Fallback>
        </mc:AlternateContent>
      </w:r>
    </w:p>
    <w:p w14:paraId="30C38F9E" w14:textId="77777777" w:rsidR="008B5264" w:rsidRDefault="008B5264" w:rsidP="008B5264">
      <w:pPr>
        <w:spacing w:after="0" w:line="480" w:lineRule="auto"/>
        <w:jc w:val="center"/>
        <w:rPr>
          <w:rFonts w:ascii="Times New Roman" w:eastAsia="Times New Roman" w:hAnsi="Times New Roman" w:cs="Times New Roman"/>
          <w:b/>
          <w:bCs/>
          <w:sz w:val="24"/>
          <w:szCs w:val="24"/>
        </w:rPr>
      </w:pPr>
    </w:p>
    <w:p w14:paraId="59696435" w14:textId="77777777" w:rsidR="003428FF" w:rsidRPr="003428FF" w:rsidRDefault="003428FF" w:rsidP="003428FF">
      <w:pPr>
        <w:spacing w:after="0" w:line="480" w:lineRule="auto"/>
        <w:jc w:val="center"/>
        <w:rPr>
          <w:rFonts w:ascii="Times New Roman" w:eastAsia="Times New Roman" w:hAnsi="Times New Roman" w:cs="Times New Roman"/>
          <w:sz w:val="24"/>
          <w:szCs w:val="24"/>
        </w:rPr>
      </w:pPr>
      <w:r w:rsidRPr="003428FF">
        <w:rPr>
          <w:rFonts w:ascii="Times New Roman" w:eastAsia="Times New Roman" w:hAnsi="Times New Roman" w:cs="Times New Roman"/>
          <w:b/>
          <w:bCs/>
          <w:color w:val="000000"/>
          <w:sz w:val="24"/>
          <w:szCs w:val="24"/>
          <w:u w:val="single"/>
        </w:rPr>
        <w:t>INTRODUCTION</w:t>
      </w:r>
    </w:p>
    <w:p w14:paraId="3B362DDB" w14:textId="77777777" w:rsidR="003428FF" w:rsidRPr="003428FF" w:rsidRDefault="003428FF" w:rsidP="003428FF">
      <w:pPr>
        <w:spacing w:after="0" w:line="480" w:lineRule="auto"/>
        <w:ind w:firstLine="720"/>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4"/>
          <w:szCs w:val="24"/>
        </w:rPr>
        <w:t xml:space="preserve">On March 27, 2010, Dave Nelson, executive producer of television series </w:t>
      </w:r>
      <w:r w:rsidRPr="003428FF">
        <w:rPr>
          <w:rFonts w:ascii="Times New Roman" w:eastAsia="Times New Roman" w:hAnsi="Times New Roman" w:cs="Times New Roman"/>
          <w:i/>
          <w:iCs/>
          <w:color w:val="000000"/>
          <w:sz w:val="24"/>
          <w:szCs w:val="24"/>
        </w:rPr>
        <w:t xml:space="preserve">Lawless Love </w:t>
      </w:r>
      <w:r w:rsidRPr="003428FF">
        <w:rPr>
          <w:rFonts w:ascii="Times New Roman" w:eastAsia="Times New Roman" w:hAnsi="Times New Roman" w:cs="Times New Roman"/>
          <w:color w:val="000000"/>
          <w:sz w:val="24"/>
          <w:szCs w:val="24"/>
        </w:rPr>
        <w:t>on the network OGS TV, Inc. (“OGS”)</w:t>
      </w:r>
      <w:r w:rsidRPr="003428FF">
        <w:rPr>
          <w:rFonts w:ascii="Times New Roman" w:eastAsia="Times New Roman" w:hAnsi="Times New Roman" w:cs="Times New Roman"/>
          <w:i/>
          <w:iCs/>
          <w:color w:val="000000"/>
          <w:sz w:val="24"/>
          <w:szCs w:val="24"/>
        </w:rPr>
        <w:t xml:space="preserve">, </w:t>
      </w:r>
      <w:r w:rsidRPr="003428FF">
        <w:rPr>
          <w:rFonts w:ascii="Times New Roman" w:eastAsia="Times New Roman" w:hAnsi="Times New Roman" w:cs="Times New Roman"/>
          <w:color w:val="000000"/>
          <w:sz w:val="24"/>
          <w:szCs w:val="24"/>
        </w:rPr>
        <w:t>specially commissioned Elizabeth Lime, a well-known and experienced television writer, to prepare a special screenplay for his TV show. That day, Lime and Nelson entered an agreement that OGS would be the author of this work, and agreed regarding the deadline for the screenplay and Lime’s payment. Lime expressly and affirmatively agreed that the OGS would be the author of the screenplay under the agreement. The following August, Lime usurped OGS’s screenplay to use for the production of the pilot episode of a separate TV series with a TinyTV, Inc. (“TinyTV”), one of OGS’s competitors. Due to Lime’s re-publishing of  OGS’s property, OGS has lost over $86,000 in potential advertising revenue and fees as a result of Lime’s copyright violation.</w:t>
      </w:r>
    </w:p>
    <w:p w14:paraId="2889F3EA" w14:textId="77777777" w:rsidR="003428FF" w:rsidRPr="003428FF" w:rsidRDefault="003428FF" w:rsidP="003428FF">
      <w:pPr>
        <w:spacing w:after="0" w:line="480" w:lineRule="auto"/>
        <w:ind w:firstLine="720"/>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4"/>
          <w:szCs w:val="24"/>
        </w:rPr>
        <w:t>This memorandum is in opposition to Defendants’ motion to dismiss. In order to survive a motion to dismiss under Fed. R. Civ. P. 12(b)(6), a complaint must contain enough facts and allegations so that, when all the facts are accepted as true, the complaint states a facially plausible claim to relief.</w:t>
      </w:r>
      <w:r w:rsidRPr="003428FF">
        <w:rPr>
          <w:rFonts w:ascii="Arial" w:eastAsia="Times New Roman" w:hAnsi="Arial" w:cs="Arial"/>
          <w:color w:val="000000"/>
          <w:sz w:val="23"/>
          <w:szCs w:val="23"/>
        </w:rPr>
        <w:t xml:space="preserve"> </w:t>
      </w:r>
      <w:r w:rsidRPr="003428FF">
        <w:rPr>
          <w:rFonts w:ascii="Times New Roman" w:eastAsia="Times New Roman" w:hAnsi="Times New Roman" w:cs="Times New Roman"/>
          <w:i/>
          <w:iCs/>
          <w:color w:val="000000"/>
          <w:sz w:val="24"/>
          <w:szCs w:val="24"/>
        </w:rPr>
        <w:t>Bell Atlantic Corp. v. Twombly</w:t>
      </w:r>
      <w:r w:rsidRPr="003428FF">
        <w:rPr>
          <w:rFonts w:ascii="Times New Roman" w:eastAsia="Times New Roman" w:hAnsi="Times New Roman" w:cs="Times New Roman"/>
          <w:color w:val="000000"/>
          <w:sz w:val="24"/>
          <w:szCs w:val="24"/>
        </w:rPr>
        <w:t xml:space="preserve">, 550 U.S. </w:t>
      </w:r>
      <w:r w:rsidRPr="003428FF">
        <w:rPr>
          <w:rFonts w:ascii="Times New Roman" w:eastAsia="Times New Roman" w:hAnsi="Times New Roman" w:cs="Times New Roman"/>
          <w:color w:val="000000"/>
          <w:sz w:val="23"/>
          <w:szCs w:val="23"/>
        </w:rPr>
        <w:t xml:space="preserve">1955, 570 (2007); </w:t>
      </w:r>
      <w:r w:rsidRPr="003428FF">
        <w:rPr>
          <w:rFonts w:ascii="Times New Roman" w:eastAsia="Times New Roman" w:hAnsi="Times New Roman" w:cs="Times New Roman"/>
          <w:i/>
          <w:iCs/>
          <w:color w:val="000000"/>
          <w:sz w:val="23"/>
          <w:szCs w:val="23"/>
        </w:rPr>
        <w:t xml:space="preserve">see </w:t>
      </w:r>
      <w:r w:rsidRPr="003428FF">
        <w:rPr>
          <w:rFonts w:ascii="Times New Roman" w:eastAsia="Times New Roman" w:hAnsi="Times New Roman" w:cs="Times New Roman"/>
          <w:color w:val="000000"/>
          <w:sz w:val="23"/>
          <w:szCs w:val="23"/>
        </w:rPr>
        <w:t xml:space="preserve">Fed. R. </w:t>
      </w:r>
      <w:r w:rsidRPr="003428FF">
        <w:rPr>
          <w:rFonts w:ascii="Times New Roman" w:eastAsia="Times New Roman" w:hAnsi="Times New Roman" w:cs="Times New Roman"/>
          <w:color w:val="000000"/>
          <w:sz w:val="23"/>
          <w:szCs w:val="23"/>
        </w:rPr>
        <w:lastRenderedPageBreak/>
        <w:t xml:space="preserve">Civ. P. 8(a)(2). </w:t>
      </w:r>
      <w:r w:rsidRPr="003428FF">
        <w:rPr>
          <w:rFonts w:ascii="Times New Roman" w:eastAsia="Times New Roman" w:hAnsi="Times New Roman" w:cs="Times New Roman"/>
          <w:color w:val="000000"/>
          <w:sz w:val="24"/>
          <w:szCs w:val="24"/>
        </w:rPr>
        <w:t xml:space="preserve">Plaintiff has listed the factual circumstances regarding the violation, and has therefore met the liberal pleading standards required by the Fed. R. Civ. P. 8. </w:t>
      </w:r>
      <w:r w:rsidRPr="003428FF">
        <w:rPr>
          <w:rFonts w:ascii="Times New Roman" w:eastAsia="Times New Roman" w:hAnsi="Times New Roman" w:cs="Times New Roman"/>
          <w:color w:val="000000"/>
          <w:sz w:val="23"/>
          <w:szCs w:val="23"/>
        </w:rPr>
        <w:t> </w:t>
      </w:r>
      <w:r w:rsidRPr="003428FF">
        <w:rPr>
          <w:rFonts w:ascii="Times New Roman" w:eastAsia="Times New Roman" w:hAnsi="Times New Roman" w:cs="Times New Roman"/>
          <w:color w:val="000000"/>
          <w:sz w:val="24"/>
          <w:szCs w:val="24"/>
        </w:rPr>
        <w:t>Plaintiff hired Defendant Lime to create a screenplay as a work made for hire, and the parties agreed that Plaintiff would be the author.  (</w:t>
      </w:r>
      <w:r w:rsidRPr="003428FF">
        <w:rPr>
          <w:rFonts w:ascii="Times New Roman" w:eastAsia="Times New Roman" w:hAnsi="Times New Roman" w:cs="Times New Roman"/>
          <w:i/>
          <w:iCs/>
          <w:color w:val="000000"/>
          <w:sz w:val="24"/>
          <w:szCs w:val="24"/>
        </w:rPr>
        <w:t xml:space="preserve">See </w:t>
      </w:r>
      <w:r w:rsidRPr="003428FF">
        <w:rPr>
          <w:rFonts w:ascii="Times New Roman" w:eastAsia="Times New Roman" w:hAnsi="Times New Roman" w:cs="Times New Roman"/>
          <w:color w:val="000000"/>
          <w:sz w:val="24"/>
          <w:szCs w:val="24"/>
        </w:rPr>
        <w:t>Compl. ¶¶ 16, 17.) Plaintiff relied on this agreement and conducted business with Defendant accordingly. (</w:t>
      </w:r>
      <w:r w:rsidRPr="003428FF">
        <w:rPr>
          <w:rFonts w:ascii="Times New Roman" w:eastAsia="Times New Roman" w:hAnsi="Times New Roman" w:cs="Times New Roman"/>
          <w:i/>
          <w:iCs/>
          <w:color w:val="000000"/>
          <w:sz w:val="24"/>
          <w:szCs w:val="24"/>
        </w:rPr>
        <w:t xml:space="preserve">See </w:t>
      </w:r>
      <w:r w:rsidRPr="003428FF">
        <w:rPr>
          <w:rFonts w:ascii="Times New Roman" w:eastAsia="Times New Roman" w:hAnsi="Times New Roman" w:cs="Times New Roman"/>
          <w:color w:val="000000"/>
          <w:sz w:val="24"/>
          <w:szCs w:val="24"/>
        </w:rPr>
        <w:t>Compl. ¶¶ 22, 24, 25.)   Subsequently, Defendant violated the copyright by usurping the content of the screenplay and using it for a different project without the consent of Plaintiff. (Compl. ¶ 28.) Plaintiff requests the court to deny Defendant’s motion, because the facts in the complaint, taken as true, state a plausible claim for copyright infringement of a work made for hire under 17 U.S.C. § 101 et seq. (“Copyright Act”).</w:t>
      </w:r>
    </w:p>
    <w:p w14:paraId="4F5F2B2D" w14:textId="77777777" w:rsidR="003428FF" w:rsidRPr="003428FF" w:rsidRDefault="003428FF" w:rsidP="003428FF">
      <w:pPr>
        <w:spacing w:after="0" w:line="480" w:lineRule="auto"/>
        <w:jc w:val="center"/>
        <w:rPr>
          <w:rFonts w:ascii="Times New Roman" w:eastAsia="Times New Roman" w:hAnsi="Times New Roman" w:cs="Times New Roman"/>
          <w:sz w:val="24"/>
          <w:szCs w:val="24"/>
        </w:rPr>
      </w:pPr>
      <w:r w:rsidRPr="003428FF">
        <w:rPr>
          <w:rFonts w:ascii="Times New Roman" w:eastAsia="Times New Roman" w:hAnsi="Times New Roman" w:cs="Times New Roman"/>
          <w:b/>
          <w:bCs/>
          <w:color w:val="000000"/>
          <w:sz w:val="24"/>
          <w:szCs w:val="24"/>
          <w:u w:val="single"/>
        </w:rPr>
        <w:t>FACTUAL BACKGROUND</w:t>
      </w:r>
    </w:p>
    <w:p w14:paraId="11084F04" w14:textId="77777777" w:rsidR="003428FF" w:rsidRPr="003428FF" w:rsidRDefault="003428FF" w:rsidP="003428FF">
      <w:pPr>
        <w:spacing w:after="0" w:line="480" w:lineRule="auto"/>
        <w:ind w:firstLine="720"/>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4"/>
          <w:szCs w:val="24"/>
        </w:rPr>
        <w:t xml:space="preserve">Dave Nelson had admired Elizabeth Lime’s television writing in the western series </w:t>
      </w:r>
      <w:r w:rsidRPr="003428FF">
        <w:rPr>
          <w:rFonts w:ascii="Times New Roman" w:eastAsia="Times New Roman" w:hAnsi="Times New Roman" w:cs="Times New Roman"/>
          <w:i/>
          <w:iCs/>
          <w:color w:val="000000"/>
          <w:sz w:val="24"/>
          <w:szCs w:val="24"/>
        </w:rPr>
        <w:t>The Adventures of Wally Mondale</w:t>
      </w:r>
      <w:r w:rsidRPr="003428FF">
        <w:rPr>
          <w:rFonts w:ascii="Times New Roman" w:eastAsia="Times New Roman" w:hAnsi="Times New Roman" w:cs="Times New Roman"/>
          <w:color w:val="000000"/>
          <w:sz w:val="24"/>
          <w:szCs w:val="24"/>
        </w:rPr>
        <w:t xml:space="preserve">, her work in science fiction in </w:t>
      </w:r>
      <w:r w:rsidRPr="003428FF">
        <w:rPr>
          <w:rFonts w:ascii="Times New Roman" w:eastAsia="Times New Roman" w:hAnsi="Times New Roman" w:cs="Times New Roman"/>
          <w:i/>
          <w:iCs/>
          <w:color w:val="000000"/>
          <w:sz w:val="24"/>
          <w:szCs w:val="24"/>
        </w:rPr>
        <w:t xml:space="preserve">CYBERTORTS!, </w:t>
      </w:r>
      <w:r w:rsidRPr="003428FF">
        <w:rPr>
          <w:rFonts w:ascii="Times New Roman" w:eastAsia="Times New Roman" w:hAnsi="Times New Roman" w:cs="Times New Roman"/>
          <w:color w:val="000000"/>
          <w:sz w:val="24"/>
          <w:szCs w:val="24"/>
        </w:rPr>
        <w:t xml:space="preserve">and her writing in espionage dramas like </w:t>
      </w:r>
      <w:r w:rsidRPr="003428FF">
        <w:rPr>
          <w:rFonts w:ascii="Times New Roman" w:eastAsia="Times New Roman" w:hAnsi="Times New Roman" w:cs="Times New Roman"/>
          <w:i/>
          <w:iCs/>
          <w:color w:val="000000"/>
          <w:sz w:val="24"/>
          <w:szCs w:val="24"/>
        </w:rPr>
        <w:t xml:space="preserve">Bubbles. </w:t>
      </w:r>
      <w:r w:rsidRPr="003428FF">
        <w:rPr>
          <w:rFonts w:ascii="Times New Roman" w:eastAsia="Times New Roman" w:hAnsi="Times New Roman" w:cs="Times New Roman"/>
          <w:color w:val="000000"/>
          <w:sz w:val="24"/>
          <w:szCs w:val="24"/>
        </w:rPr>
        <w:t xml:space="preserve">(Compl. ¶ 20.) Nelson was an employee of OGS and the executive producer for the television series </w:t>
      </w:r>
      <w:r w:rsidRPr="003428FF">
        <w:rPr>
          <w:rFonts w:ascii="Times New Roman" w:eastAsia="Times New Roman" w:hAnsi="Times New Roman" w:cs="Times New Roman"/>
          <w:i/>
          <w:iCs/>
          <w:color w:val="000000"/>
          <w:sz w:val="24"/>
          <w:szCs w:val="24"/>
        </w:rPr>
        <w:t>Lawless Love</w:t>
      </w:r>
      <w:r w:rsidRPr="003428FF">
        <w:rPr>
          <w:rFonts w:ascii="Times New Roman" w:eastAsia="Times New Roman" w:hAnsi="Times New Roman" w:cs="Times New Roman"/>
          <w:color w:val="000000"/>
          <w:sz w:val="24"/>
          <w:szCs w:val="24"/>
        </w:rPr>
        <w:t xml:space="preserve">. (Compl. ¶ 5.) OGS employed eight regular writers to prepare the screenplays for </w:t>
      </w:r>
      <w:r w:rsidRPr="003428FF">
        <w:rPr>
          <w:rFonts w:ascii="Times New Roman" w:eastAsia="Times New Roman" w:hAnsi="Times New Roman" w:cs="Times New Roman"/>
          <w:i/>
          <w:iCs/>
          <w:color w:val="000000"/>
          <w:sz w:val="24"/>
          <w:szCs w:val="24"/>
        </w:rPr>
        <w:t xml:space="preserve">Lawless Love </w:t>
      </w:r>
      <w:r w:rsidRPr="003428FF">
        <w:rPr>
          <w:rFonts w:ascii="Times New Roman" w:eastAsia="Times New Roman" w:hAnsi="Times New Roman" w:cs="Times New Roman"/>
          <w:color w:val="000000"/>
          <w:sz w:val="24"/>
          <w:szCs w:val="24"/>
        </w:rPr>
        <w:t>(Compl. ¶ 5)</w:t>
      </w:r>
      <w:r w:rsidRPr="003428FF">
        <w:rPr>
          <w:rFonts w:ascii="Times New Roman" w:eastAsia="Times New Roman" w:hAnsi="Times New Roman" w:cs="Times New Roman"/>
          <w:i/>
          <w:iCs/>
          <w:color w:val="000000"/>
          <w:sz w:val="24"/>
          <w:szCs w:val="24"/>
        </w:rPr>
        <w:t xml:space="preserve">, </w:t>
      </w:r>
      <w:r w:rsidRPr="003428FF">
        <w:rPr>
          <w:rFonts w:ascii="Times New Roman" w:eastAsia="Times New Roman" w:hAnsi="Times New Roman" w:cs="Times New Roman"/>
          <w:color w:val="000000"/>
          <w:sz w:val="24"/>
          <w:szCs w:val="24"/>
        </w:rPr>
        <w:t>but when Nelson saw the opportunity to commission Lime to bring her unique perspective and fifteen years of experience to an episode of his show, he jumped at the chance (Compl. ¶ 14). Lime was not a formal employee of OGS when she created the screenplay (Compl. ¶ 9), but she had worked as a screen writer for over fifteen years (Compl. ¶ 11). Nelson and Lime had their first meeting regarding the new arrangement on March 27, 2010. (Compl. ¶ 12.)</w:t>
      </w:r>
    </w:p>
    <w:p w14:paraId="06CC14FD" w14:textId="77777777" w:rsidR="003428FF" w:rsidRPr="003428FF" w:rsidRDefault="003428FF" w:rsidP="003428FF">
      <w:pPr>
        <w:spacing w:after="0" w:line="480" w:lineRule="auto"/>
        <w:ind w:firstLine="720"/>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4"/>
          <w:szCs w:val="24"/>
        </w:rPr>
        <w:t xml:space="preserve">Lime agreed to prepare a screenplay by April 1 and Nelson agreed to pay her $6000 for writing it. (Compl. ¶¶  13, 15.) Nelson explained that the screenplay would be a work made for </w:t>
      </w:r>
      <w:r w:rsidRPr="003428FF">
        <w:rPr>
          <w:rFonts w:ascii="Times New Roman" w:eastAsia="Times New Roman" w:hAnsi="Times New Roman" w:cs="Times New Roman"/>
          <w:color w:val="000000"/>
          <w:sz w:val="24"/>
          <w:szCs w:val="24"/>
        </w:rPr>
        <w:lastRenderedPageBreak/>
        <w:t>hire, and that included in the agreement would be the stipulation that OGS would remain the author, to which Lime assented by stating “Yes.” (Compl. ¶ ¶ 16, 17.) Eager to get production underway, Nelson suggested that Lime get to work immediately; he told Lime that she could return to sign all the appropriate paperwork later. (Compl. ¶ 20.) Since Lime’s fifteen years of experience would have made her well-versed in television writing and all its processes, she agreed to proceed and work on the screenplay. (Compl. ¶ 11.)</w:t>
      </w:r>
    </w:p>
    <w:p w14:paraId="5E4DDACA" w14:textId="77777777" w:rsidR="003428FF" w:rsidRPr="003428FF" w:rsidRDefault="003428FF" w:rsidP="003428FF">
      <w:pPr>
        <w:spacing w:after="0" w:line="480" w:lineRule="auto"/>
        <w:ind w:firstLine="720"/>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4"/>
          <w:szCs w:val="24"/>
        </w:rPr>
        <w:t>Lime submitted the screenplay “Anticipatory Repudiation” by the April 1 deadline. (Compl. ¶ 21.) The next day, on April 2, 2010, OGS carried out its obligations under the copyright laws and secured the exclusive rights and privileges  in the work, receiving a certificate of registration from the Register of Copyrights. (Compl. ¶ 22.) Though the screenplay was officially registered to OGS, Lime did not arrive at OGS’s office to retrieve her payment until four days later, on April 6, 2010. (Compl. ¶ 24.) At the time she retrieved her check, she and Nelson signed the appropriate paperwork, which included the “Work-Made-For-Hire Agreement.” (Compl. ¶ 24.)</w:t>
      </w:r>
    </w:p>
    <w:p w14:paraId="6BCF7004" w14:textId="77777777" w:rsidR="003428FF" w:rsidRPr="003428FF" w:rsidRDefault="003428FF" w:rsidP="003428FF">
      <w:pPr>
        <w:spacing w:after="0" w:line="480" w:lineRule="auto"/>
        <w:ind w:firstLine="720"/>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4"/>
          <w:szCs w:val="24"/>
        </w:rPr>
        <w:t xml:space="preserve">Nelson did not hear from Lime again until June 1, 2010, when she called to ask why she did not see “Anticipatory Repudiation” air on </w:t>
      </w:r>
      <w:r w:rsidRPr="003428FF">
        <w:rPr>
          <w:rFonts w:ascii="Times New Roman" w:eastAsia="Times New Roman" w:hAnsi="Times New Roman" w:cs="Times New Roman"/>
          <w:i/>
          <w:iCs/>
          <w:color w:val="000000"/>
          <w:sz w:val="24"/>
          <w:szCs w:val="24"/>
        </w:rPr>
        <w:t>Lawless Love</w:t>
      </w:r>
      <w:r w:rsidRPr="003428FF">
        <w:rPr>
          <w:rFonts w:ascii="Times New Roman" w:eastAsia="Times New Roman" w:hAnsi="Times New Roman" w:cs="Times New Roman"/>
          <w:color w:val="000000"/>
          <w:sz w:val="24"/>
          <w:szCs w:val="24"/>
        </w:rPr>
        <w:t>. (Compl. ¶ 26.) Unfortunately, Nelson had to tell Lime that despite his admiration for her past work, the other executives at OGS did not believe that “Anticipatory Repudiation” fit that season’s theme</w:t>
      </w:r>
      <w:r w:rsidRPr="003428FF">
        <w:rPr>
          <w:rFonts w:ascii="Times New Roman" w:eastAsia="Times New Roman" w:hAnsi="Times New Roman" w:cs="Times New Roman"/>
          <w:i/>
          <w:iCs/>
          <w:color w:val="000000"/>
          <w:sz w:val="24"/>
          <w:szCs w:val="24"/>
        </w:rPr>
        <w:t xml:space="preserve"> </w:t>
      </w:r>
      <w:r w:rsidRPr="003428FF">
        <w:rPr>
          <w:rFonts w:ascii="Times New Roman" w:eastAsia="Times New Roman" w:hAnsi="Times New Roman" w:cs="Times New Roman"/>
          <w:color w:val="000000"/>
          <w:sz w:val="24"/>
          <w:szCs w:val="24"/>
        </w:rPr>
        <w:t>(Compl. ¶ 26). Approximately two months later, around August 2, 2010, Lime began working with TinyTV, one of OGS’s competitors. (Compl. ¶ 27). By September, Lime produced a screenplay entitled “The Love Below,” which was to pilot a new series on TinyTV (Compl.</w:t>
      </w:r>
      <w:r w:rsidRPr="003428FF">
        <w:rPr>
          <w:rFonts w:ascii="Times New Roman" w:eastAsia="Times New Roman" w:hAnsi="Times New Roman" w:cs="Times New Roman"/>
          <w:i/>
          <w:iCs/>
          <w:color w:val="000000"/>
          <w:sz w:val="24"/>
          <w:szCs w:val="24"/>
        </w:rPr>
        <w:t xml:space="preserve"> </w:t>
      </w:r>
      <w:r w:rsidRPr="003428FF">
        <w:rPr>
          <w:rFonts w:ascii="Times New Roman" w:eastAsia="Times New Roman" w:hAnsi="Times New Roman" w:cs="Times New Roman"/>
          <w:color w:val="000000"/>
          <w:sz w:val="24"/>
          <w:szCs w:val="24"/>
        </w:rPr>
        <w:t>¶ 28.) Lime substantially copied this screenplay from “Anticipatory Repudiation.” (Compl. ¶ 28.) “The Love Below” and “Anticipatory Repudiation” share identical dialogue, characters, and storylines. (Compl.</w:t>
      </w:r>
      <w:r w:rsidRPr="003428FF">
        <w:rPr>
          <w:rFonts w:ascii="Times New Roman" w:eastAsia="Times New Roman" w:hAnsi="Times New Roman" w:cs="Times New Roman"/>
          <w:i/>
          <w:iCs/>
          <w:color w:val="000000"/>
          <w:sz w:val="24"/>
          <w:szCs w:val="24"/>
        </w:rPr>
        <w:t xml:space="preserve"> </w:t>
      </w:r>
      <w:r w:rsidRPr="003428FF">
        <w:rPr>
          <w:rFonts w:ascii="Times New Roman" w:eastAsia="Times New Roman" w:hAnsi="Times New Roman" w:cs="Times New Roman"/>
          <w:color w:val="000000"/>
          <w:sz w:val="24"/>
          <w:szCs w:val="24"/>
        </w:rPr>
        <w:t>¶ 31.)</w:t>
      </w:r>
    </w:p>
    <w:p w14:paraId="1009343B" w14:textId="77777777" w:rsidR="003428FF" w:rsidRPr="003428FF" w:rsidRDefault="003428FF" w:rsidP="003428FF">
      <w:pPr>
        <w:spacing w:after="0" w:line="480" w:lineRule="auto"/>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3"/>
          <w:szCs w:val="23"/>
        </w:rPr>
        <w:lastRenderedPageBreak/>
        <w:t>Since the first airing of “The Love Below,” TinyTV has aired the show on many networks to gain as much profit as possible. (</w:t>
      </w:r>
      <w:r w:rsidRPr="003428FF">
        <w:rPr>
          <w:rFonts w:ascii="Times New Roman" w:eastAsia="Times New Roman" w:hAnsi="Times New Roman" w:cs="Times New Roman"/>
          <w:i/>
          <w:iCs/>
          <w:color w:val="000000"/>
          <w:sz w:val="23"/>
          <w:szCs w:val="23"/>
        </w:rPr>
        <w:t xml:space="preserve">See </w:t>
      </w:r>
      <w:r w:rsidRPr="003428FF">
        <w:rPr>
          <w:rFonts w:ascii="Times New Roman" w:eastAsia="Times New Roman" w:hAnsi="Times New Roman" w:cs="Times New Roman"/>
          <w:color w:val="000000"/>
          <w:sz w:val="23"/>
          <w:szCs w:val="23"/>
        </w:rPr>
        <w:t>Compl.</w:t>
      </w:r>
      <w:r w:rsidRPr="003428FF">
        <w:rPr>
          <w:rFonts w:ascii="Times New Roman" w:eastAsia="Times New Roman" w:hAnsi="Times New Roman" w:cs="Times New Roman"/>
          <w:i/>
          <w:iCs/>
          <w:color w:val="000000"/>
          <w:sz w:val="23"/>
          <w:szCs w:val="23"/>
        </w:rPr>
        <w:t xml:space="preserve"> </w:t>
      </w:r>
      <w:r w:rsidRPr="003428FF">
        <w:rPr>
          <w:rFonts w:ascii="Times New Roman" w:eastAsia="Times New Roman" w:hAnsi="Times New Roman" w:cs="Times New Roman"/>
          <w:color w:val="000000"/>
          <w:sz w:val="23"/>
          <w:szCs w:val="23"/>
        </w:rPr>
        <w:t>¶ 29.) While Lime and TinyTV continue to infringe OGS’s copyright and profit from “The Love Below,” Nelson and OGS continue to lose money—to date, Nelson and OGS have lost $86,000 from Lime’s violation. (Compl.</w:t>
      </w:r>
      <w:r w:rsidRPr="003428FF">
        <w:rPr>
          <w:rFonts w:ascii="Times New Roman" w:eastAsia="Times New Roman" w:hAnsi="Times New Roman" w:cs="Times New Roman"/>
          <w:i/>
          <w:iCs/>
          <w:color w:val="000000"/>
          <w:sz w:val="23"/>
          <w:szCs w:val="23"/>
        </w:rPr>
        <w:t xml:space="preserve"> </w:t>
      </w:r>
      <w:r w:rsidRPr="003428FF">
        <w:rPr>
          <w:rFonts w:ascii="Times New Roman" w:eastAsia="Times New Roman" w:hAnsi="Times New Roman" w:cs="Times New Roman"/>
          <w:color w:val="000000"/>
          <w:sz w:val="23"/>
          <w:szCs w:val="23"/>
        </w:rPr>
        <w:t>¶ 30). Not only has OGS lost the value of the potential advertising revenue from“Anticipatory Repudiation,” OGS has also lost the fee paid to Lime for her work. (Compl. ¶</w:t>
      </w:r>
      <w:r w:rsidRPr="003428FF">
        <w:rPr>
          <w:rFonts w:ascii="Times New Roman" w:eastAsia="Times New Roman" w:hAnsi="Times New Roman" w:cs="Times New Roman"/>
          <w:i/>
          <w:iCs/>
          <w:color w:val="000000"/>
          <w:sz w:val="23"/>
          <w:szCs w:val="23"/>
        </w:rPr>
        <w:t xml:space="preserve"> </w:t>
      </w:r>
      <w:r w:rsidRPr="003428FF">
        <w:rPr>
          <w:rFonts w:ascii="Times New Roman" w:eastAsia="Times New Roman" w:hAnsi="Times New Roman" w:cs="Times New Roman"/>
          <w:color w:val="000000"/>
          <w:sz w:val="23"/>
          <w:szCs w:val="23"/>
        </w:rPr>
        <w:t>30.)</w:t>
      </w:r>
    </w:p>
    <w:p w14:paraId="4C2568C4" w14:textId="77777777" w:rsidR="003428FF" w:rsidRPr="003428FF" w:rsidRDefault="003428FF" w:rsidP="003428FF">
      <w:pPr>
        <w:spacing w:after="0" w:line="480" w:lineRule="auto"/>
        <w:ind w:firstLine="720"/>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3"/>
          <w:szCs w:val="23"/>
        </w:rPr>
        <w:t>Though Lime and TinyTV were immediately notified of their violation on September 15, 2010, OGS believes that, unless enjoined by this court, Defendants will continue infringing OGS’s copyright. (Compl.</w:t>
      </w:r>
      <w:r w:rsidRPr="003428FF">
        <w:rPr>
          <w:rFonts w:ascii="Times New Roman" w:eastAsia="Times New Roman" w:hAnsi="Times New Roman" w:cs="Times New Roman"/>
          <w:i/>
          <w:iCs/>
          <w:color w:val="000000"/>
          <w:sz w:val="23"/>
          <w:szCs w:val="23"/>
        </w:rPr>
        <w:t xml:space="preserve"> </w:t>
      </w:r>
      <w:r w:rsidRPr="003428FF">
        <w:rPr>
          <w:rFonts w:ascii="Times New Roman" w:eastAsia="Times New Roman" w:hAnsi="Times New Roman" w:cs="Times New Roman"/>
          <w:color w:val="000000"/>
          <w:sz w:val="23"/>
          <w:szCs w:val="23"/>
        </w:rPr>
        <w:t>¶ 32). OGS opposes Defendants’ motion to dismiss and requests that this case be decided on the merits. OGS additionally requests a preliminary injunction to prevent Lime and TinyTV from continuing to air “The Love Below” and profit from the copyright violation</w:t>
      </w:r>
      <w:r w:rsidRPr="003428FF">
        <w:rPr>
          <w:rFonts w:ascii="Arial" w:eastAsia="Times New Roman" w:hAnsi="Arial" w:cs="Arial"/>
          <w:color w:val="000000"/>
          <w:sz w:val="23"/>
          <w:szCs w:val="23"/>
        </w:rPr>
        <w:t>.</w:t>
      </w:r>
    </w:p>
    <w:p w14:paraId="5230FCEC" w14:textId="77777777" w:rsidR="003428FF" w:rsidRPr="003428FF" w:rsidRDefault="003428FF" w:rsidP="003428FF">
      <w:pPr>
        <w:spacing w:after="0" w:line="480" w:lineRule="auto"/>
        <w:jc w:val="center"/>
        <w:rPr>
          <w:rFonts w:ascii="Times New Roman" w:eastAsia="Times New Roman" w:hAnsi="Times New Roman" w:cs="Times New Roman"/>
          <w:sz w:val="24"/>
          <w:szCs w:val="24"/>
        </w:rPr>
      </w:pPr>
      <w:r w:rsidRPr="003428FF">
        <w:rPr>
          <w:rFonts w:ascii="Times New Roman" w:eastAsia="Times New Roman" w:hAnsi="Times New Roman" w:cs="Times New Roman"/>
          <w:b/>
          <w:bCs/>
          <w:color w:val="000000"/>
          <w:sz w:val="24"/>
          <w:szCs w:val="24"/>
          <w:u w:val="single"/>
        </w:rPr>
        <w:t>KEY PROVISIONS AND CONTEXT OF THE COPYRIGHT ACT</w:t>
      </w:r>
    </w:p>
    <w:p w14:paraId="3C63BBC8" w14:textId="77777777" w:rsidR="003428FF" w:rsidRPr="003428FF" w:rsidRDefault="003428FF" w:rsidP="007D0090">
      <w:pPr>
        <w:spacing w:after="0" w:line="480" w:lineRule="auto"/>
        <w:ind w:firstLine="720"/>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4"/>
          <w:szCs w:val="24"/>
        </w:rPr>
        <w:t xml:space="preserve">The Copyright Act was passed in an attempt to clarify existing copyright </w:t>
      </w:r>
      <w:r w:rsidR="007D0090">
        <w:rPr>
          <w:rFonts w:ascii="Times New Roman" w:eastAsia="Times New Roman" w:hAnsi="Times New Roman" w:cs="Times New Roman"/>
          <w:color w:val="000000"/>
          <w:sz w:val="24"/>
          <w:szCs w:val="24"/>
        </w:rPr>
        <w:t xml:space="preserve">law that evolved </w:t>
      </w:r>
      <w:r w:rsidRPr="003428FF">
        <w:rPr>
          <w:rFonts w:ascii="Times New Roman" w:eastAsia="Times New Roman" w:hAnsi="Times New Roman" w:cs="Times New Roman"/>
          <w:color w:val="000000"/>
          <w:sz w:val="24"/>
          <w:szCs w:val="24"/>
        </w:rPr>
        <w:t xml:space="preserve">from the vague and convoluted 1909 Copyright Act. </w:t>
      </w:r>
      <w:r w:rsidRPr="003428FF">
        <w:rPr>
          <w:rFonts w:ascii="Times New Roman" w:eastAsia="Times New Roman" w:hAnsi="Times New Roman" w:cs="Times New Roman"/>
          <w:i/>
          <w:iCs/>
          <w:color w:val="000000"/>
          <w:sz w:val="24"/>
          <w:szCs w:val="24"/>
        </w:rPr>
        <w:t>Community for Creative Non-Violence v. Reid</w:t>
      </w:r>
      <w:r w:rsidRPr="003428FF">
        <w:rPr>
          <w:rFonts w:ascii="Times New Roman" w:eastAsia="Times New Roman" w:hAnsi="Times New Roman" w:cs="Times New Roman"/>
          <w:color w:val="000000"/>
          <w:sz w:val="24"/>
          <w:szCs w:val="24"/>
        </w:rPr>
        <w:t xml:space="preserve">, 490 U.S. 730, 740 (1989); </w:t>
      </w:r>
      <w:r w:rsidRPr="003428FF">
        <w:rPr>
          <w:rFonts w:ascii="Times New Roman" w:eastAsia="Times New Roman" w:hAnsi="Times New Roman" w:cs="Times New Roman"/>
          <w:i/>
          <w:iCs/>
          <w:color w:val="000000"/>
          <w:sz w:val="24"/>
          <w:szCs w:val="24"/>
        </w:rPr>
        <w:t xml:space="preserve">see </w:t>
      </w:r>
      <w:r w:rsidRPr="003428FF">
        <w:rPr>
          <w:rFonts w:ascii="Times New Roman" w:eastAsia="Times New Roman" w:hAnsi="Times New Roman" w:cs="Times New Roman"/>
          <w:color w:val="000000"/>
          <w:sz w:val="24"/>
          <w:szCs w:val="24"/>
        </w:rPr>
        <w:t xml:space="preserve">17 U.S.C. § 301(a) (2010).   As of 1976, the Act provided that a hiring party who specially commissioned a work </w:t>
      </w:r>
      <w:r w:rsidR="007D0090">
        <w:rPr>
          <w:rFonts w:ascii="Times New Roman" w:eastAsia="Times New Roman" w:hAnsi="Times New Roman" w:cs="Times New Roman"/>
          <w:color w:val="000000"/>
          <w:sz w:val="24"/>
          <w:szCs w:val="24"/>
        </w:rPr>
        <w:t xml:space="preserve">from an independent contractor </w:t>
      </w:r>
      <w:r w:rsidRPr="003428FF">
        <w:rPr>
          <w:rFonts w:ascii="Times New Roman" w:eastAsia="Times New Roman" w:hAnsi="Times New Roman" w:cs="Times New Roman"/>
          <w:color w:val="000000"/>
          <w:sz w:val="24"/>
          <w:szCs w:val="24"/>
        </w:rPr>
        <w:t xml:space="preserve">was the author of this work, </w:t>
      </w:r>
      <w:r w:rsidR="007D0090">
        <w:rPr>
          <w:rFonts w:ascii="Times New Roman" w:eastAsia="Times New Roman" w:hAnsi="Times New Roman" w:cs="Times New Roman"/>
          <w:color w:val="000000"/>
          <w:sz w:val="24"/>
          <w:szCs w:val="24"/>
        </w:rPr>
        <w:t>and this work</w:t>
      </w:r>
      <w:r w:rsidRPr="003428FF">
        <w:rPr>
          <w:rFonts w:ascii="Times New Roman" w:eastAsia="Times New Roman" w:hAnsi="Times New Roman" w:cs="Times New Roman"/>
          <w:color w:val="000000"/>
          <w:sz w:val="24"/>
          <w:szCs w:val="24"/>
        </w:rPr>
        <w:t xml:space="preserve"> would be classified a “work made for hire”. 17 U.S.C. §§ 101(2) and 201(b).</w:t>
      </w:r>
      <w:r w:rsidR="007D0090">
        <w:rPr>
          <w:rFonts w:ascii="Times New Roman" w:eastAsia="Times New Roman" w:hAnsi="Times New Roman" w:cs="Times New Roman"/>
          <w:sz w:val="24"/>
          <w:szCs w:val="24"/>
        </w:rPr>
        <w:t xml:space="preserve"> </w:t>
      </w:r>
      <w:r w:rsidRPr="003428FF">
        <w:rPr>
          <w:rFonts w:ascii="Times New Roman" w:eastAsia="Times New Roman" w:hAnsi="Times New Roman" w:cs="Times New Roman"/>
          <w:color w:val="000000"/>
          <w:sz w:val="24"/>
          <w:szCs w:val="24"/>
        </w:rPr>
        <w:t xml:space="preserve">The Act of 1976 explains the requirements of a work-for-hire agreement in much more detail than the Copyright Act of 1909. </w:t>
      </w:r>
      <w:r w:rsidRPr="003428FF">
        <w:rPr>
          <w:rFonts w:ascii="Times New Roman" w:eastAsia="Times New Roman" w:hAnsi="Times New Roman" w:cs="Times New Roman"/>
          <w:i/>
          <w:iCs/>
          <w:color w:val="000000"/>
          <w:sz w:val="24"/>
          <w:szCs w:val="24"/>
        </w:rPr>
        <w:t>Playboy Enterprises, Inc. v. Dumas</w:t>
      </w:r>
      <w:r w:rsidRPr="003428FF">
        <w:rPr>
          <w:rFonts w:ascii="Times New Roman" w:eastAsia="Times New Roman" w:hAnsi="Times New Roman" w:cs="Times New Roman"/>
          <w:color w:val="000000"/>
          <w:sz w:val="24"/>
          <w:szCs w:val="24"/>
        </w:rPr>
        <w:t>,</w:t>
      </w:r>
      <w:r w:rsidRPr="003428FF">
        <w:rPr>
          <w:rFonts w:ascii="Times New Roman" w:eastAsia="Times New Roman" w:hAnsi="Times New Roman" w:cs="Times New Roman"/>
          <w:i/>
          <w:iCs/>
          <w:color w:val="000000"/>
          <w:sz w:val="24"/>
          <w:szCs w:val="24"/>
        </w:rPr>
        <w:t xml:space="preserve"> </w:t>
      </w:r>
      <w:r w:rsidRPr="003428FF">
        <w:rPr>
          <w:rFonts w:ascii="Times New Roman" w:eastAsia="Times New Roman" w:hAnsi="Times New Roman" w:cs="Times New Roman"/>
          <w:color w:val="000000"/>
          <w:sz w:val="24"/>
          <w:szCs w:val="24"/>
        </w:rPr>
        <w:t xml:space="preserve">53 F.3d 549 (2d Cir. 1995), </w:t>
      </w:r>
      <w:r w:rsidRPr="003428FF">
        <w:rPr>
          <w:rFonts w:ascii="Times New Roman" w:eastAsia="Times New Roman" w:hAnsi="Times New Roman" w:cs="Times New Roman"/>
          <w:i/>
          <w:iCs/>
          <w:color w:val="000000"/>
          <w:sz w:val="24"/>
          <w:szCs w:val="24"/>
        </w:rPr>
        <w:t xml:space="preserve">cert. denied, </w:t>
      </w:r>
      <w:r w:rsidRPr="003428FF">
        <w:rPr>
          <w:rFonts w:ascii="Times New Roman" w:eastAsia="Times New Roman" w:hAnsi="Times New Roman" w:cs="Times New Roman"/>
          <w:color w:val="000000"/>
          <w:sz w:val="24"/>
          <w:szCs w:val="24"/>
        </w:rPr>
        <w:t xml:space="preserve">516 U.S. 1010 (1995).  Once a work in question is determined to be </w:t>
      </w:r>
      <w:r w:rsidR="007D0090">
        <w:rPr>
          <w:rFonts w:ascii="Times New Roman" w:eastAsia="Times New Roman" w:hAnsi="Times New Roman" w:cs="Times New Roman"/>
          <w:color w:val="000000"/>
          <w:sz w:val="24"/>
          <w:szCs w:val="24"/>
        </w:rPr>
        <w:t xml:space="preserve">a </w:t>
      </w:r>
      <w:r w:rsidRPr="003428FF">
        <w:rPr>
          <w:rFonts w:ascii="Times New Roman" w:eastAsia="Times New Roman" w:hAnsi="Times New Roman" w:cs="Times New Roman"/>
          <w:color w:val="000000"/>
          <w:sz w:val="24"/>
          <w:szCs w:val="24"/>
        </w:rPr>
        <w:t>valid work made for hire under the definition provided in § 101(2), the legal ownership of the work is described in § 201(b). Section 101(2) provides:</w:t>
      </w:r>
    </w:p>
    <w:p w14:paraId="5927BD86" w14:textId="77777777" w:rsidR="003428FF" w:rsidRPr="003428FF" w:rsidRDefault="003428FF" w:rsidP="003428FF">
      <w:pPr>
        <w:spacing w:after="0" w:line="240" w:lineRule="auto"/>
        <w:ind w:left="990"/>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4"/>
          <w:szCs w:val="24"/>
        </w:rPr>
        <w:t xml:space="preserve">A “work made for hire” is: . . . </w:t>
      </w:r>
      <w:r w:rsidRPr="003428FF">
        <w:rPr>
          <w:rFonts w:ascii="Times New Roman" w:eastAsia="Times New Roman" w:hAnsi="Times New Roman" w:cs="Times New Roman"/>
          <w:b/>
          <w:bCs/>
          <w:color w:val="000000"/>
          <w:sz w:val="24"/>
          <w:szCs w:val="24"/>
        </w:rPr>
        <w:t>(2)</w:t>
      </w:r>
      <w:r w:rsidRPr="003428FF">
        <w:rPr>
          <w:rFonts w:ascii="Times New Roman" w:eastAsia="Times New Roman" w:hAnsi="Times New Roman" w:cs="Times New Roman"/>
          <w:color w:val="000000"/>
          <w:sz w:val="24"/>
          <w:szCs w:val="24"/>
        </w:rPr>
        <w:t xml:space="preserve"> a work specially ordered or commissioned for use as a contribution to a collective work . . . if the parties expressly agree in a written instrument signed by them that the work shall be considered a work made for hire . . .</w:t>
      </w:r>
    </w:p>
    <w:p w14:paraId="649E9DA9" w14:textId="77777777" w:rsidR="003428FF" w:rsidRPr="003428FF" w:rsidRDefault="003428FF" w:rsidP="003428FF">
      <w:pPr>
        <w:spacing w:after="240" w:line="240" w:lineRule="auto"/>
        <w:rPr>
          <w:rFonts w:ascii="Times New Roman" w:eastAsia="Times New Roman" w:hAnsi="Times New Roman" w:cs="Times New Roman"/>
          <w:sz w:val="24"/>
          <w:szCs w:val="24"/>
        </w:rPr>
      </w:pPr>
      <w:r w:rsidRPr="003428FF">
        <w:rPr>
          <w:rFonts w:ascii="Times New Roman" w:eastAsia="Times New Roman" w:hAnsi="Times New Roman" w:cs="Times New Roman"/>
          <w:sz w:val="24"/>
          <w:szCs w:val="24"/>
        </w:rPr>
        <w:lastRenderedPageBreak/>
        <w:br/>
      </w:r>
      <w:r w:rsidRPr="003428FF">
        <w:rPr>
          <w:rFonts w:ascii="Times New Roman" w:eastAsia="Times New Roman" w:hAnsi="Times New Roman" w:cs="Times New Roman"/>
          <w:color w:val="000000"/>
          <w:sz w:val="24"/>
          <w:szCs w:val="24"/>
        </w:rPr>
        <w:t>Section 201, in relevant part, provides:</w:t>
      </w:r>
    </w:p>
    <w:p w14:paraId="34135062" w14:textId="77777777" w:rsidR="007D0090" w:rsidRDefault="003428FF" w:rsidP="00CC3818">
      <w:pPr>
        <w:spacing w:after="0" w:line="240" w:lineRule="auto"/>
        <w:ind w:left="1080"/>
        <w:rPr>
          <w:rFonts w:ascii="Times New Roman" w:eastAsia="Times New Roman" w:hAnsi="Times New Roman" w:cs="Times New Roman"/>
          <w:sz w:val="24"/>
          <w:szCs w:val="24"/>
        </w:rPr>
      </w:pPr>
      <w:r w:rsidRPr="003428FF">
        <w:rPr>
          <w:rFonts w:ascii="Times New Roman" w:eastAsia="Times New Roman" w:hAnsi="Times New Roman" w:cs="Times New Roman"/>
          <w:b/>
          <w:bCs/>
          <w:color w:val="000000"/>
          <w:sz w:val="24"/>
          <w:szCs w:val="24"/>
        </w:rPr>
        <w:t>(b) Works Made for Hire.</w:t>
      </w:r>
      <w:r w:rsidRPr="003428FF">
        <w:rPr>
          <w:rFonts w:ascii="Times New Roman" w:eastAsia="Times New Roman" w:hAnsi="Times New Roman" w:cs="Times New Roman"/>
          <w:color w:val="000000"/>
          <w:sz w:val="24"/>
          <w:szCs w:val="24"/>
        </w:rPr>
        <w:t xml:space="preserve"> In the case of a work made for hire, the employer or other person for whom the work was prepared is considered the author for purposes of this title, and, unless the parties have expressly agreed otherwise in a written instrument signed by them, owns all of the rights comprised in the copyright . . .</w:t>
      </w:r>
    </w:p>
    <w:p w14:paraId="63FFA055" w14:textId="77777777" w:rsidR="00CC3818" w:rsidRDefault="00CC3818" w:rsidP="007D0090">
      <w:pPr>
        <w:spacing w:after="0" w:line="480" w:lineRule="auto"/>
        <w:rPr>
          <w:rFonts w:ascii="Times New Roman" w:eastAsia="Times New Roman" w:hAnsi="Times New Roman" w:cs="Times New Roman"/>
          <w:color w:val="000000"/>
          <w:sz w:val="24"/>
          <w:szCs w:val="24"/>
        </w:rPr>
      </w:pPr>
    </w:p>
    <w:p w14:paraId="60B6C9D3" w14:textId="77777777" w:rsidR="003428FF" w:rsidRPr="003428FF" w:rsidRDefault="003428FF" w:rsidP="007D0090">
      <w:pPr>
        <w:spacing w:after="0" w:line="480" w:lineRule="auto"/>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4"/>
          <w:szCs w:val="24"/>
        </w:rPr>
        <w:t>17 U.S.C. §§ 101(2), 201(b) (2010).</w:t>
      </w:r>
      <w:r w:rsidRPr="003428FF">
        <w:rPr>
          <w:rFonts w:ascii="Times New Roman" w:eastAsia="Times New Roman" w:hAnsi="Times New Roman" w:cs="Times New Roman"/>
          <w:sz w:val="24"/>
          <w:szCs w:val="24"/>
        </w:rPr>
        <w:br/>
      </w:r>
      <w:r w:rsidRPr="003428FF">
        <w:rPr>
          <w:rFonts w:ascii="Times New Roman" w:eastAsia="Times New Roman" w:hAnsi="Times New Roman" w:cs="Times New Roman"/>
          <w:color w:val="000000"/>
          <w:sz w:val="23"/>
          <w:szCs w:val="23"/>
        </w:rPr>
        <w:t>          </w:t>
      </w:r>
      <w:r w:rsidR="007D0090">
        <w:rPr>
          <w:rFonts w:ascii="Times New Roman" w:eastAsia="Times New Roman" w:hAnsi="Times New Roman" w:cs="Times New Roman"/>
          <w:color w:val="000000"/>
          <w:sz w:val="23"/>
          <w:szCs w:val="23"/>
        </w:rPr>
        <w:t>The judicial analysis of whether a work is a valid “work made for hire” under the new Copyright Act</w:t>
      </w:r>
      <w:r w:rsidRPr="003428FF">
        <w:rPr>
          <w:rFonts w:ascii="Times New Roman" w:eastAsia="Times New Roman" w:hAnsi="Times New Roman" w:cs="Times New Roman"/>
          <w:color w:val="000000"/>
          <w:sz w:val="24"/>
          <w:szCs w:val="24"/>
        </w:rPr>
        <w:t xml:space="preserve"> has most often considered whether the preparer of the work should be classified as an “employee” or an “independent contractor.” </w:t>
      </w:r>
      <w:r w:rsidRPr="003428FF">
        <w:rPr>
          <w:rFonts w:ascii="Times New Roman" w:eastAsia="Times New Roman" w:hAnsi="Times New Roman" w:cs="Times New Roman"/>
          <w:i/>
          <w:iCs/>
          <w:color w:val="000000"/>
          <w:sz w:val="24"/>
          <w:szCs w:val="24"/>
        </w:rPr>
        <w:t>See Cmty. for Creative Non-Violence</w:t>
      </w:r>
      <w:r w:rsidRPr="003428FF">
        <w:rPr>
          <w:rFonts w:ascii="Times New Roman" w:eastAsia="Times New Roman" w:hAnsi="Times New Roman" w:cs="Times New Roman"/>
          <w:color w:val="000000"/>
          <w:sz w:val="24"/>
          <w:szCs w:val="24"/>
        </w:rPr>
        <w:t xml:space="preserve">, 490 U.S. 730 (1989); </w:t>
      </w:r>
      <w:r w:rsidRPr="003428FF">
        <w:rPr>
          <w:rFonts w:ascii="Times New Roman" w:eastAsia="Times New Roman" w:hAnsi="Times New Roman" w:cs="Times New Roman"/>
          <w:i/>
          <w:iCs/>
          <w:color w:val="000000"/>
          <w:sz w:val="24"/>
          <w:szCs w:val="24"/>
        </w:rPr>
        <w:t>Schiller &amp; Schmidt, Inc. v. Nordisco Corp.</w:t>
      </w:r>
      <w:r w:rsidRPr="003428FF">
        <w:rPr>
          <w:rFonts w:ascii="Times New Roman" w:eastAsia="Times New Roman" w:hAnsi="Times New Roman" w:cs="Times New Roman"/>
          <w:color w:val="000000"/>
          <w:sz w:val="24"/>
          <w:szCs w:val="24"/>
        </w:rPr>
        <w:t>,</w:t>
      </w:r>
      <w:r w:rsidRPr="003428FF">
        <w:rPr>
          <w:rFonts w:ascii="Times New Roman" w:eastAsia="Times New Roman" w:hAnsi="Times New Roman" w:cs="Times New Roman"/>
          <w:i/>
          <w:iCs/>
          <w:color w:val="000000"/>
          <w:sz w:val="24"/>
          <w:szCs w:val="24"/>
        </w:rPr>
        <w:t xml:space="preserve"> </w:t>
      </w:r>
      <w:r w:rsidRPr="003428FF">
        <w:rPr>
          <w:rFonts w:ascii="Times New Roman" w:eastAsia="Times New Roman" w:hAnsi="Times New Roman" w:cs="Times New Roman"/>
          <w:color w:val="000000"/>
          <w:sz w:val="24"/>
          <w:szCs w:val="24"/>
        </w:rPr>
        <w:t xml:space="preserve">969 F.2d 410 (7th Cir. 1992); </w:t>
      </w:r>
      <w:r w:rsidRPr="003428FF">
        <w:rPr>
          <w:rFonts w:ascii="Times New Roman" w:eastAsia="Times New Roman" w:hAnsi="Times New Roman" w:cs="Times New Roman"/>
          <w:i/>
          <w:iCs/>
          <w:color w:val="000000"/>
          <w:sz w:val="24"/>
          <w:szCs w:val="24"/>
        </w:rPr>
        <w:t>Easter Seal Soc’y</w:t>
      </w:r>
      <w:r w:rsidRPr="003428FF">
        <w:rPr>
          <w:rFonts w:ascii="Times New Roman" w:eastAsia="Times New Roman" w:hAnsi="Times New Roman" w:cs="Times New Roman"/>
          <w:color w:val="000000"/>
          <w:sz w:val="24"/>
          <w:szCs w:val="24"/>
        </w:rPr>
        <w:t xml:space="preserve"> </w:t>
      </w:r>
      <w:r w:rsidRPr="003428FF">
        <w:rPr>
          <w:rFonts w:ascii="Times New Roman" w:eastAsia="Times New Roman" w:hAnsi="Times New Roman" w:cs="Times New Roman"/>
          <w:i/>
          <w:iCs/>
          <w:color w:val="000000"/>
          <w:sz w:val="24"/>
          <w:szCs w:val="24"/>
        </w:rPr>
        <w:t>for Crippled Children &amp; Adults of Louisiana, Inc. v. Playboy Enters.</w:t>
      </w:r>
      <w:r w:rsidRPr="003428FF">
        <w:rPr>
          <w:rFonts w:ascii="Times New Roman" w:eastAsia="Times New Roman" w:hAnsi="Times New Roman" w:cs="Times New Roman"/>
          <w:color w:val="000000"/>
          <w:sz w:val="24"/>
          <w:szCs w:val="24"/>
        </w:rPr>
        <w:t>,</w:t>
      </w:r>
      <w:r w:rsidRPr="003428FF">
        <w:rPr>
          <w:rFonts w:ascii="Times New Roman" w:eastAsia="Times New Roman" w:hAnsi="Times New Roman" w:cs="Times New Roman"/>
          <w:i/>
          <w:iCs/>
          <w:color w:val="000000"/>
          <w:sz w:val="24"/>
          <w:szCs w:val="24"/>
        </w:rPr>
        <w:t xml:space="preserve"> </w:t>
      </w:r>
      <w:r w:rsidRPr="003428FF">
        <w:rPr>
          <w:rFonts w:ascii="Times New Roman" w:eastAsia="Times New Roman" w:hAnsi="Times New Roman" w:cs="Times New Roman"/>
          <w:color w:val="000000"/>
          <w:sz w:val="24"/>
          <w:szCs w:val="24"/>
        </w:rPr>
        <w:t xml:space="preserve">815 F.2d 323 (5th Cir. 1987). However, only a few courts have </w:t>
      </w:r>
      <w:r w:rsidR="007D0090">
        <w:rPr>
          <w:rFonts w:ascii="Times New Roman" w:eastAsia="Times New Roman" w:hAnsi="Times New Roman" w:cs="Times New Roman"/>
          <w:color w:val="000000"/>
          <w:sz w:val="24"/>
          <w:szCs w:val="24"/>
        </w:rPr>
        <w:t>addressed</w:t>
      </w:r>
      <w:r w:rsidRPr="003428FF">
        <w:rPr>
          <w:rFonts w:ascii="Times New Roman" w:eastAsia="Times New Roman" w:hAnsi="Times New Roman" w:cs="Times New Roman"/>
          <w:color w:val="000000"/>
          <w:sz w:val="24"/>
          <w:szCs w:val="24"/>
        </w:rPr>
        <w:t xml:space="preserve"> a question regarding the timing of the signature and execution of the writing. </w:t>
      </w:r>
      <w:r w:rsidRPr="003428FF">
        <w:rPr>
          <w:rFonts w:ascii="Times New Roman" w:eastAsia="Times New Roman" w:hAnsi="Times New Roman" w:cs="Times New Roman"/>
          <w:i/>
          <w:iCs/>
          <w:color w:val="000000"/>
          <w:sz w:val="24"/>
          <w:szCs w:val="24"/>
        </w:rPr>
        <w:t>See TMTV Corp. v. Mass Prods., Inc.</w:t>
      </w:r>
      <w:r w:rsidRPr="003428FF">
        <w:rPr>
          <w:rFonts w:ascii="Times New Roman" w:eastAsia="Times New Roman" w:hAnsi="Times New Roman" w:cs="Times New Roman"/>
          <w:color w:val="000000"/>
          <w:sz w:val="24"/>
          <w:szCs w:val="24"/>
        </w:rPr>
        <w:t>,</w:t>
      </w:r>
      <w:r w:rsidRPr="003428FF">
        <w:rPr>
          <w:rFonts w:ascii="Times New Roman" w:eastAsia="Times New Roman" w:hAnsi="Times New Roman" w:cs="Times New Roman"/>
          <w:i/>
          <w:iCs/>
          <w:color w:val="000000"/>
          <w:sz w:val="24"/>
          <w:szCs w:val="24"/>
        </w:rPr>
        <w:t xml:space="preserve"> </w:t>
      </w:r>
      <w:r w:rsidRPr="003428FF">
        <w:rPr>
          <w:rFonts w:ascii="Times New Roman" w:eastAsia="Times New Roman" w:hAnsi="Times New Roman" w:cs="Times New Roman"/>
          <w:color w:val="000000"/>
          <w:sz w:val="24"/>
          <w:szCs w:val="24"/>
        </w:rPr>
        <w:t xml:space="preserve">345 F.Supp.2d 196 (D. Puerto Rico 2004) </w:t>
      </w:r>
      <w:r w:rsidRPr="003428FF">
        <w:rPr>
          <w:rFonts w:ascii="Times New Roman" w:eastAsia="Times New Roman" w:hAnsi="Times New Roman" w:cs="Times New Roman"/>
          <w:i/>
          <w:iCs/>
          <w:color w:val="000000"/>
          <w:sz w:val="24"/>
          <w:szCs w:val="24"/>
        </w:rPr>
        <w:t>aff’d</w:t>
      </w:r>
      <w:r w:rsidRPr="003428FF">
        <w:rPr>
          <w:rFonts w:ascii="Times New Roman" w:eastAsia="Times New Roman" w:hAnsi="Times New Roman" w:cs="Times New Roman"/>
          <w:color w:val="000000"/>
          <w:sz w:val="24"/>
          <w:szCs w:val="24"/>
        </w:rPr>
        <w:t xml:space="preserve">, 645 F.3d 464 (1st Cir. 2011); </w:t>
      </w:r>
      <w:r w:rsidRPr="003428FF">
        <w:rPr>
          <w:rFonts w:ascii="Times New Roman" w:eastAsia="Times New Roman" w:hAnsi="Times New Roman" w:cs="Times New Roman"/>
          <w:i/>
          <w:iCs/>
          <w:color w:val="000000"/>
          <w:sz w:val="24"/>
          <w:szCs w:val="24"/>
        </w:rPr>
        <w:t>Playboy</w:t>
      </w:r>
      <w:r w:rsidRPr="003428FF">
        <w:rPr>
          <w:rFonts w:ascii="Times New Roman" w:eastAsia="Times New Roman" w:hAnsi="Times New Roman" w:cs="Times New Roman"/>
          <w:color w:val="000000"/>
          <w:sz w:val="24"/>
          <w:szCs w:val="24"/>
        </w:rPr>
        <w:t xml:space="preserve">, 53 F.3d 549; </w:t>
      </w:r>
      <w:r w:rsidRPr="003428FF">
        <w:rPr>
          <w:rFonts w:ascii="Times New Roman" w:eastAsia="Times New Roman" w:hAnsi="Times New Roman" w:cs="Times New Roman"/>
          <w:i/>
          <w:iCs/>
          <w:color w:val="000000"/>
          <w:sz w:val="24"/>
          <w:szCs w:val="24"/>
        </w:rPr>
        <w:t>Eden Toys, Inc. v. Florelee Undergarment Co.</w:t>
      </w:r>
      <w:r w:rsidRPr="003428FF">
        <w:rPr>
          <w:rFonts w:ascii="Times New Roman" w:eastAsia="Times New Roman" w:hAnsi="Times New Roman" w:cs="Times New Roman"/>
          <w:color w:val="000000"/>
          <w:sz w:val="24"/>
          <w:szCs w:val="24"/>
        </w:rPr>
        <w:t>, 697 F.2d 27 (2d Cir. 1982).</w:t>
      </w:r>
    </w:p>
    <w:p w14:paraId="5F698189" w14:textId="77777777" w:rsidR="003428FF" w:rsidRPr="003428FF" w:rsidRDefault="007D0090" w:rsidP="003428FF">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Courts</w:t>
      </w:r>
      <w:r w:rsidR="003428FF" w:rsidRPr="003428FF">
        <w:rPr>
          <w:rFonts w:ascii="Times New Roman" w:eastAsia="Times New Roman" w:hAnsi="Times New Roman" w:cs="Times New Roman"/>
          <w:color w:val="000000"/>
          <w:sz w:val="24"/>
          <w:szCs w:val="24"/>
        </w:rPr>
        <w:t xml:space="preserve"> that have addressed the timing question have determined that </w:t>
      </w:r>
      <w:r w:rsidR="00425DCD">
        <w:rPr>
          <w:rFonts w:ascii="Times New Roman" w:eastAsia="Times New Roman" w:hAnsi="Times New Roman" w:cs="Times New Roman"/>
          <w:color w:val="000000"/>
          <w:sz w:val="24"/>
          <w:szCs w:val="24"/>
        </w:rPr>
        <w:t>writing post-dating</w:t>
      </w:r>
      <w:r w:rsidR="00425DCD" w:rsidRPr="003428FF">
        <w:rPr>
          <w:rFonts w:ascii="Times New Roman" w:eastAsia="Times New Roman" w:hAnsi="Times New Roman" w:cs="Times New Roman"/>
          <w:color w:val="000000"/>
          <w:sz w:val="24"/>
          <w:szCs w:val="24"/>
        </w:rPr>
        <w:t xml:space="preserve"> the creation of the work </w:t>
      </w:r>
      <w:r w:rsidR="00425DCD">
        <w:rPr>
          <w:rFonts w:ascii="Times New Roman" w:eastAsia="Times New Roman" w:hAnsi="Times New Roman" w:cs="Times New Roman"/>
          <w:color w:val="000000"/>
          <w:sz w:val="24"/>
          <w:szCs w:val="24"/>
        </w:rPr>
        <w:t>constitutes a</w:t>
      </w:r>
      <w:r w:rsidR="003428FF" w:rsidRPr="003428FF">
        <w:rPr>
          <w:rFonts w:ascii="Times New Roman" w:eastAsia="Times New Roman" w:hAnsi="Times New Roman" w:cs="Times New Roman"/>
          <w:color w:val="000000"/>
          <w:sz w:val="24"/>
          <w:szCs w:val="24"/>
        </w:rPr>
        <w:t xml:space="preserve"> valid</w:t>
      </w:r>
      <w:r w:rsidR="00425DCD">
        <w:rPr>
          <w:rFonts w:ascii="Times New Roman" w:eastAsia="Times New Roman" w:hAnsi="Times New Roman" w:cs="Times New Roman"/>
          <w:color w:val="000000"/>
          <w:sz w:val="24"/>
          <w:szCs w:val="24"/>
        </w:rPr>
        <w:t xml:space="preserve"> work made for hire.</w:t>
      </w:r>
      <w:r w:rsidR="003428FF" w:rsidRPr="003428FF">
        <w:rPr>
          <w:rFonts w:ascii="Times New Roman" w:eastAsia="Times New Roman" w:hAnsi="Times New Roman" w:cs="Times New Roman"/>
          <w:color w:val="000000"/>
          <w:sz w:val="24"/>
          <w:szCs w:val="24"/>
        </w:rPr>
        <w:t xml:space="preserve"> </w:t>
      </w:r>
      <w:r w:rsidR="003428FF" w:rsidRPr="003428FF">
        <w:rPr>
          <w:rFonts w:ascii="Times New Roman" w:eastAsia="Times New Roman" w:hAnsi="Times New Roman" w:cs="Times New Roman"/>
          <w:i/>
          <w:iCs/>
          <w:color w:val="000000"/>
          <w:sz w:val="24"/>
          <w:szCs w:val="24"/>
        </w:rPr>
        <w:t>Playboy</w:t>
      </w:r>
      <w:r w:rsidR="003428FF" w:rsidRPr="003428FF">
        <w:rPr>
          <w:rFonts w:ascii="Times New Roman" w:eastAsia="Times New Roman" w:hAnsi="Times New Roman" w:cs="Times New Roman"/>
          <w:color w:val="000000"/>
          <w:sz w:val="24"/>
          <w:szCs w:val="24"/>
        </w:rPr>
        <w:t xml:space="preserve">, 53 F.3d 549 at 559; </w:t>
      </w:r>
      <w:r w:rsidR="003428FF" w:rsidRPr="003428FF">
        <w:rPr>
          <w:rFonts w:ascii="Times New Roman" w:eastAsia="Times New Roman" w:hAnsi="Times New Roman" w:cs="Times New Roman"/>
          <w:i/>
          <w:iCs/>
          <w:color w:val="000000"/>
          <w:sz w:val="24"/>
          <w:szCs w:val="24"/>
        </w:rPr>
        <w:t>TMTV Corp.</w:t>
      </w:r>
      <w:r w:rsidR="003428FF" w:rsidRPr="003428FF">
        <w:rPr>
          <w:rFonts w:ascii="Times New Roman" w:eastAsia="Times New Roman" w:hAnsi="Times New Roman" w:cs="Times New Roman"/>
          <w:color w:val="000000"/>
          <w:sz w:val="24"/>
          <w:szCs w:val="24"/>
        </w:rPr>
        <w:t xml:space="preserve">, 345 F.Supp.2d 196 at 206 (citing </w:t>
      </w:r>
      <w:r w:rsidR="003428FF" w:rsidRPr="003428FF">
        <w:rPr>
          <w:rFonts w:ascii="Times New Roman" w:eastAsia="Times New Roman" w:hAnsi="Times New Roman" w:cs="Times New Roman"/>
          <w:i/>
          <w:iCs/>
          <w:color w:val="000000"/>
          <w:sz w:val="24"/>
          <w:szCs w:val="24"/>
        </w:rPr>
        <w:t>Playboy</w:t>
      </w:r>
      <w:r w:rsidR="003428FF" w:rsidRPr="003428FF">
        <w:rPr>
          <w:rFonts w:ascii="Times New Roman" w:eastAsia="Times New Roman" w:hAnsi="Times New Roman" w:cs="Times New Roman"/>
          <w:color w:val="000000"/>
          <w:sz w:val="24"/>
          <w:szCs w:val="24"/>
        </w:rPr>
        <w:t xml:space="preserve">, 53 F.3d 549 at 559). These cases provide the most recent and authoritative opinions on the timing issue in works made for hire provisions of the Copyright Act, until the Supreme Court grants certiorari to decide the question, which it has declined to do. </w:t>
      </w:r>
      <w:r w:rsidR="003428FF" w:rsidRPr="003428FF">
        <w:rPr>
          <w:rFonts w:ascii="Times New Roman" w:eastAsia="Times New Roman" w:hAnsi="Times New Roman" w:cs="Times New Roman"/>
          <w:i/>
          <w:iCs/>
          <w:color w:val="000000"/>
          <w:sz w:val="24"/>
          <w:szCs w:val="24"/>
        </w:rPr>
        <w:t xml:space="preserve">Dumas v. Playboy Enters., Inc. </w:t>
      </w:r>
      <w:r w:rsidR="003428FF" w:rsidRPr="003428FF">
        <w:rPr>
          <w:rFonts w:ascii="Times New Roman" w:eastAsia="Times New Roman" w:hAnsi="Times New Roman" w:cs="Times New Roman"/>
          <w:color w:val="000000"/>
          <w:sz w:val="24"/>
          <w:szCs w:val="24"/>
        </w:rPr>
        <w:t>516 U.S. 1010 (1995).  The arguments in the most recent and authoritative case law are also supported by the text of the statute itself, the legislative history, and public policy.</w:t>
      </w:r>
      <w:r w:rsidR="003428FF" w:rsidRPr="003428FF">
        <w:rPr>
          <w:rFonts w:ascii="Times New Roman" w:eastAsia="Times New Roman" w:hAnsi="Times New Roman" w:cs="Times New Roman"/>
          <w:color w:val="000000"/>
          <w:sz w:val="23"/>
          <w:szCs w:val="23"/>
        </w:rPr>
        <w:t xml:space="preserve"> </w:t>
      </w:r>
    </w:p>
    <w:p w14:paraId="6D9B5576" w14:textId="77777777" w:rsidR="003428FF" w:rsidRDefault="003428FF" w:rsidP="003428FF">
      <w:pPr>
        <w:spacing w:after="0" w:line="240" w:lineRule="auto"/>
        <w:ind w:firstLine="720"/>
        <w:jc w:val="center"/>
        <w:rPr>
          <w:rFonts w:ascii="Times New Roman" w:eastAsia="Times New Roman" w:hAnsi="Times New Roman" w:cs="Times New Roman"/>
          <w:b/>
          <w:bCs/>
          <w:color w:val="000000"/>
          <w:sz w:val="24"/>
          <w:szCs w:val="24"/>
          <w:u w:val="single"/>
        </w:rPr>
      </w:pPr>
      <w:r w:rsidRPr="003428FF">
        <w:rPr>
          <w:rFonts w:ascii="Times New Roman" w:eastAsia="Times New Roman" w:hAnsi="Times New Roman" w:cs="Times New Roman"/>
          <w:b/>
          <w:bCs/>
          <w:color w:val="000000"/>
          <w:sz w:val="24"/>
          <w:szCs w:val="24"/>
          <w:u w:val="single"/>
        </w:rPr>
        <w:t>ARGUMENT</w:t>
      </w:r>
    </w:p>
    <w:p w14:paraId="7B2A70E5" w14:textId="77777777" w:rsidR="003428FF" w:rsidRPr="003428FF" w:rsidRDefault="003428FF" w:rsidP="003428FF">
      <w:pPr>
        <w:spacing w:after="0" w:line="240" w:lineRule="auto"/>
        <w:ind w:firstLine="720"/>
        <w:jc w:val="center"/>
        <w:rPr>
          <w:rFonts w:ascii="Times New Roman" w:eastAsia="Times New Roman" w:hAnsi="Times New Roman" w:cs="Times New Roman"/>
          <w:sz w:val="24"/>
          <w:szCs w:val="24"/>
        </w:rPr>
      </w:pPr>
    </w:p>
    <w:p w14:paraId="263A0A16" w14:textId="77777777" w:rsidR="003428FF" w:rsidRPr="003428FF" w:rsidRDefault="003428FF" w:rsidP="003428FF">
      <w:pPr>
        <w:pStyle w:val="ListParagraph"/>
        <w:numPr>
          <w:ilvl w:val="0"/>
          <w:numId w:val="1"/>
        </w:numPr>
        <w:spacing w:after="240" w:line="240" w:lineRule="auto"/>
        <w:rPr>
          <w:rFonts w:ascii="Times New Roman" w:eastAsia="Times New Roman" w:hAnsi="Times New Roman" w:cs="Times New Roman"/>
          <w:sz w:val="24"/>
          <w:szCs w:val="24"/>
        </w:rPr>
      </w:pPr>
      <w:r w:rsidRPr="003428FF">
        <w:rPr>
          <w:rFonts w:ascii="Times New Roman" w:eastAsia="Times New Roman" w:hAnsi="Times New Roman" w:cs="Times New Roman"/>
          <w:b/>
          <w:bCs/>
          <w:color w:val="000000"/>
          <w:sz w:val="24"/>
          <w:szCs w:val="24"/>
        </w:rPr>
        <w:lastRenderedPageBreak/>
        <w:t>DEFENDANTS’ MOTION TO DISMISS SHOULD BE DENIED BECAUSE THE TEXT OF THE COPYRIGHT ACT § 101(2) IS PLAIN AND CLEAR; A WRITING IN A  “WORK MADE FOR HIRE” AGREEMENT CAN BE SIGNED AT ANY POINT IN THE TRANSACTION</w:t>
      </w:r>
    </w:p>
    <w:p w14:paraId="1BA1C270" w14:textId="77777777" w:rsidR="003428FF" w:rsidRPr="003428FF" w:rsidRDefault="003428FF" w:rsidP="003428FF">
      <w:pPr>
        <w:spacing w:after="0" w:line="480" w:lineRule="auto"/>
        <w:ind w:firstLine="720"/>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3"/>
          <w:szCs w:val="23"/>
        </w:rPr>
        <w:t xml:space="preserve">This court’s finding of whether Defendant signing the “Work-Made-for-Hire Agreement” created a valid work for hire will determine which party legally owned the copyright to “Anticipatory Repudiation” at the time of Defendant’s violation. The Supreme Court has stated that any statutory analysis should always begin with the text. </w:t>
      </w:r>
      <w:r w:rsidRPr="003428FF">
        <w:rPr>
          <w:rFonts w:ascii="Times New Roman" w:eastAsia="Times New Roman" w:hAnsi="Times New Roman" w:cs="Times New Roman"/>
          <w:i/>
          <w:iCs/>
          <w:color w:val="000000"/>
          <w:sz w:val="24"/>
          <w:szCs w:val="24"/>
        </w:rPr>
        <w:t>United States v. Ron Pair Enters., Inc.</w:t>
      </w:r>
      <w:r w:rsidRPr="003428FF">
        <w:rPr>
          <w:rFonts w:ascii="Times New Roman" w:eastAsia="Times New Roman" w:hAnsi="Times New Roman" w:cs="Times New Roman"/>
          <w:color w:val="000000"/>
          <w:sz w:val="24"/>
          <w:szCs w:val="24"/>
        </w:rPr>
        <w:t xml:space="preserve">, 489 U.S. 235, 241 (1989). The Court has “stated time and again that courts must presume that a legislature says in a statute what it means and means in a statute what it says there.” </w:t>
      </w:r>
      <w:r w:rsidRPr="003428FF">
        <w:rPr>
          <w:rFonts w:ascii="Times New Roman" w:eastAsia="Times New Roman" w:hAnsi="Times New Roman" w:cs="Times New Roman"/>
          <w:i/>
          <w:iCs/>
          <w:color w:val="000000"/>
          <w:sz w:val="24"/>
          <w:szCs w:val="24"/>
        </w:rPr>
        <w:t>Connecticut Nat. Bank v. Germain</w:t>
      </w:r>
      <w:r w:rsidRPr="003428FF">
        <w:rPr>
          <w:rFonts w:ascii="Times New Roman" w:eastAsia="Times New Roman" w:hAnsi="Times New Roman" w:cs="Times New Roman"/>
          <w:color w:val="000000"/>
          <w:sz w:val="24"/>
          <w:szCs w:val="24"/>
        </w:rPr>
        <w:t>, 503 U.S. 249, 253-54 (1992). When the text of the statute is plain, then the plain meaning should be followed, and</w:t>
      </w:r>
      <w:r w:rsidRPr="003428FF">
        <w:rPr>
          <w:rFonts w:ascii="Times New Roman" w:eastAsia="Times New Roman" w:hAnsi="Times New Roman" w:cs="Times New Roman"/>
          <w:color w:val="FF0000"/>
          <w:sz w:val="24"/>
          <w:szCs w:val="24"/>
        </w:rPr>
        <w:t xml:space="preserve"> </w:t>
      </w:r>
      <w:r w:rsidRPr="003428FF">
        <w:rPr>
          <w:rFonts w:ascii="Times New Roman" w:eastAsia="Times New Roman" w:hAnsi="Times New Roman" w:cs="Times New Roman"/>
          <w:color w:val="000000"/>
          <w:sz w:val="24"/>
          <w:szCs w:val="24"/>
        </w:rPr>
        <w:t xml:space="preserve">“the sole function of the </w:t>
      </w:r>
      <w:r w:rsidRPr="003428FF">
        <w:rPr>
          <w:rFonts w:ascii="Times New Roman" w:eastAsia="Times New Roman" w:hAnsi="Times New Roman" w:cs="Times New Roman"/>
          <w:sz w:val="24"/>
          <w:szCs w:val="24"/>
        </w:rPr>
        <w:t xml:space="preserve">courts—at </w:t>
      </w:r>
      <w:r w:rsidRPr="003428FF">
        <w:rPr>
          <w:rFonts w:ascii="Times New Roman" w:eastAsia="Times New Roman" w:hAnsi="Times New Roman" w:cs="Times New Roman"/>
          <w:color w:val="000000"/>
          <w:sz w:val="24"/>
          <w:szCs w:val="24"/>
        </w:rPr>
        <w:t>least where the disposition required by the text is not absurd--is to enforce it according to its terms.”</w:t>
      </w:r>
      <w:r w:rsidRPr="003428FF">
        <w:rPr>
          <w:rFonts w:ascii="Times New Roman" w:eastAsia="Times New Roman" w:hAnsi="Times New Roman" w:cs="Times New Roman"/>
          <w:color w:val="FF0000"/>
          <w:sz w:val="24"/>
          <w:szCs w:val="24"/>
        </w:rPr>
        <w:t xml:space="preserve"> </w:t>
      </w:r>
      <w:r w:rsidRPr="003428FF">
        <w:rPr>
          <w:rFonts w:ascii="Times New Roman" w:eastAsia="Times New Roman" w:hAnsi="Times New Roman" w:cs="Times New Roman"/>
          <w:i/>
          <w:iCs/>
          <w:color w:val="000000"/>
          <w:sz w:val="24"/>
          <w:szCs w:val="24"/>
        </w:rPr>
        <w:t>Hartford Underwriters Ins. Co. v. Union Planters Bank, N.A.,</w:t>
      </w:r>
      <w:r w:rsidRPr="003428FF">
        <w:rPr>
          <w:rFonts w:ascii="Times New Roman" w:eastAsia="Times New Roman" w:hAnsi="Times New Roman" w:cs="Times New Roman"/>
          <w:color w:val="000000"/>
          <w:sz w:val="24"/>
          <w:szCs w:val="24"/>
        </w:rPr>
        <w:t xml:space="preserve"> 530 U.S. 1, 6 (2000) (quoting </w:t>
      </w:r>
      <w:r w:rsidRPr="003428FF">
        <w:rPr>
          <w:rFonts w:ascii="Times New Roman" w:eastAsia="Times New Roman" w:hAnsi="Times New Roman" w:cs="Times New Roman"/>
          <w:i/>
          <w:iCs/>
          <w:color w:val="000000"/>
          <w:sz w:val="24"/>
          <w:szCs w:val="24"/>
        </w:rPr>
        <w:t>Ron Pair Enters., Inc.</w:t>
      </w:r>
      <w:r w:rsidRPr="003428FF">
        <w:rPr>
          <w:rFonts w:ascii="Times New Roman" w:eastAsia="Times New Roman" w:hAnsi="Times New Roman" w:cs="Times New Roman"/>
          <w:color w:val="000000"/>
          <w:sz w:val="24"/>
          <w:szCs w:val="24"/>
        </w:rPr>
        <w:t xml:space="preserve">, 489 U.S. 235 at 241). </w:t>
      </w:r>
    </w:p>
    <w:p w14:paraId="27AD115D" w14:textId="77777777" w:rsidR="003428FF" w:rsidRPr="003428FF" w:rsidRDefault="002420EC" w:rsidP="003428FF">
      <w:pPr>
        <w:pStyle w:val="ListParagraph"/>
        <w:numPr>
          <w:ilvl w:val="0"/>
          <w:numId w:val="2"/>
        </w:numPr>
        <w:spacing w:after="240" w:line="240" w:lineRule="auto"/>
        <w:ind w:left="1440"/>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The</w:t>
      </w:r>
      <w:r w:rsidR="003428FF" w:rsidRPr="003428FF">
        <w:rPr>
          <w:rFonts w:ascii="Times New Roman" w:eastAsia="Times New Roman" w:hAnsi="Times New Roman" w:cs="Times New Roman"/>
          <w:b/>
          <w:bCs/>
          <w:color w:val="000000"/>
          <w:sz w:val="24"/>
          <w:szCs w:val="24"/>
        </w:rPr>
        <w:t xml:space="preserve"> Plain Language of § 101(2) Indicates That Defendant and Plaintiff Entered Into A Valid “Work Made For Hire” Agreement</w:t>
      </w:r>
    </w:p>
    <w:p w14:paraId="357FEBFC" w14:textId="77777777" w:rsidR="003428FF" w:rsidRPr="003428FF" w:rsidRDefault="003428FF" w:rsidP="003428FF">
      <w:pPr>
        <w:spacing w:after="0" w:line="480" w:lineRule="auto"/>
        <w:ind w:firstLine="720"/>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4"/>
          <w:szCs w:val="24"/>
        </w:rPr>
        <w:t xml:space="preserve">The first step the court must take in interpreting this statute is to analyze the text itself. </w:t>
      </w:r>
      <w:r w:rsidRPr="003428FF">
        <w:rPr>
          <w:rFonts w:ascii="Times New Roman" w:eastAsia="Times New Roman" w:hAnsi="Times New Roman" w:cs="Times New Roman"/>
          <w:i/>
          <w:iCs/>
          <w:color w:val="000000"/>
          <w:sz w:val="24"/>
          <w:szCs w:val="24"/>
        </w:rPr>
        <w:t>Cmty. for Creative Non-Violence</w:t>
      </w:r>
      <w:r w:rsidRPr="003428FF">
        <w:rPr>
          <w:rFonts w:ascii="Times New Roman" w:eastAsia="Times New Roman" w:hAnsi="Times New Roman" w:cs="Times New Roman"/>
          <w:color w:val="000000"/>
          <w:sz w:val="24"/>
          <w:szCs w:val="24"/>
        </w:rPr>
        <w:t xml:space="preserve">, 490 U.S. 730 at 739. It is undisputed that Defendant was not an “employee” of Plaintiff at the time she wrote the screenplay, and the work was specially commissioned (Compl. ¶ 9); only § 101(2) is relevant in this case. </w:t>
      </w:r>
      <w:r w:rsidRPr="003428FF">
        <w:rPr>
          <w:rFonts w:ascii="Times New Roman" w:eastAsia="Times New Roman" w:hAnsi="Times New Roman" w:cs="Times New Roman"/>
          <w:color w:val="000000"/>
          <w:sz w:val="23"/>
          <w:szCs w:val="23"/>
        </w:rPr>
        <w:t>Section 101(2) simply states “if the parties expressly agree in a written instrument signed by them,” then the work is considered a work made for hire. 17 U.S.C. § 101(2). Plaintiff and Defendant both signed the document, entitled “Work-Made-For-Hire Agreement,” which expressly and unambiguously stated Defendant “prepared the screenplay, ‘Anticipatory Repudiation,’ as a work made for hire.” (Compl. ¶</w:t>
      </w:r>
      <w:r w:rsidRPr="003428FF">
        <w:rPr>
          <w:rFonts w:ascii="Times New Roman" w:eastAsia="Times New Roman" w:hAnsi="Times New Roman" w:cs="Times New Roman"/>
          <w:i/>
          <w:iCs/>
          <w:color w:val="000000"/>
          <w:sz w:val="23"/>
          <w:szCs w:val="23"/>
        </w:rPr>
        <w:t xml:space="preserve"> </w:t>
      </w:r>
      <w:r w:rsidRPr="003428FF">
        <w:rPr>
          <w:rFonts w:ascii="Times New Roman" w:eastAsia="Times New Roman" w:hAnsi="Times New Roman" w:cs="Times New Roman"/>
          <w:color w:val="000000"/>
          <w:sz w:val="23"/>
          <w:szCs w:val="23"/>
        </w:rPr>
        <w:t>24.)  </w:t>
      </w:r>
      <w:r w:rsidRPr="003428FF">
        <w:rPr>
          <w:rFonts w:ascii="Times New Roman" w:eastAsia="Times New Roman" w:hAnsi="Times New Roman" w:cs="Times New Roman"/>
          <w:color w:val="000000"/>
          <w:sz w:val="24"/>
          <w:szCs w:val="24"/>
        </w:rPr>
        <w:t xml:space="preserve">Therefore, the plain meaning of the statute, requiring a written agreement signed by both parties, validates </w:t>
      </w:r>
      <w:r w:rsidRPr="003428FF">
        <w:rPr>
          <w:rFonts w:ascii="Times New Roman" w:eastAsia="Times New Roman" w:hAnsi="Times New Roman" w:cs="Times New Roman"/>
          <w:color w:val="000000"/>
          <w:sz w:val="24"/>
          <w:szCs w:val="24"/>
        </w:rPr>
        <w:lastRenderedPageBreak/>
        <w:t xml:space="preserve">Plaintiff’s assertion that Plaintiff and Defendant entered into a valid work made for hire agreement. The commissioning party assumes authorship of the work unless there is evidence of an agreement to the contrary. 17 U.S.C. § 201(b). </w:t>
      </w:r>
    </w:p>
    <w:p w14:paraId="078CFC2A" w14:textId="77777777" w:rsidR="003428FF" w:rsidRDefault="003428FF" w:rsidP="003428FF">
      <w:pPr>
        <w:spacing w:after="0" w:line="480" w:lineRule="auto"/>
        <w:ind w:firstLine="720"/>
        <w:rPr>
          <w:rFonts w:ascii="Times New Roman" w:eastAsia="Times New Roman" w:hAnsi="Times New Roman" w:cs="Times New Roman"/>
          <w:color w:val="000000"/>
          <w:sz w:val="24"/>
          <w:szCs w:val="24"/>
        </w:rPr>
      </w:pPr>
      <w:r w:rsidRPr="003428FF">
        <w:rPr>
          <w:rFonts w:ascii="Times New Roman" w:eastAsia="Times New Roman" w:hAnsi="Times New Roman" w:cs="Times New Roman"/>
          <w:color w:val="000000"/>
          <w:sz w:val="24"/>
          <w:szCs w:val="24"/>
        </w:rPr>
        <w:t xml:space="preserve">Defendants argue that § 101(2) should be construed in a way that requires the execution of a written agreement prior to the creation of a work made for hire. However, the pre-creation requirement has no basis in the language of the statute. </w:t>
      </w:r>
      <w:r w:rsidRPr="003428FF">
        <w:rPr>
          <w:rFonts w:ascii="Times New Roman" w:eastAsia="Times New Roman" w:hAnsi="Times New Roman" w:cs="Times New Roman"/>
          <w:i/>
          <w:iCs/>
          <w:color w:val="000000"/>
          <w:sz w:val="24"/>
          <w:szCs w:val="24"/>
        </w:rPr>
        <w:t>Playboy</w:t>
      </w:r>
      <w:r w:rsidRPr="003428FF">
        <w:rPr>
          <w:rFonts w:ascii="Times New Roman" w:eastAsia="Times New Roman" w:hAnsi="Times New Roman" w:cs="Times New Roman"/>
          <w:color w:val="000000"/>
          <w:sz w:val="24"/>
          <w:szCs w:val="24"/>
        </w:rPr>
        <w:t>,</w:t>
      </w:r>
      <w:r w:rsidRPr="003428FF">
        <w:rPr>
          <w:rFonts w:ascii="Times New Roman" w:eastAsia="Times New Roman" w:hAnsi="Times New Roman" w:cs="Times New Roman"/>
          <w:i/>
          <w:iCs/>
          <w:color w:val="000000"/>
          <w:sz w:val="24"/>
          <w:szCs w:val="24"/>
        </w:rPr>
        <w:t xml:space="preserve"> </w:t>
      </w:r>
      <w:r w:rsidRPr="003428FF">
        <w:rPr>
          <w:rFonts w:ascii="Times New Roman" w:eastAsia="Times New Roman" w:hAnsi="Times New Roman" w:cs="Times New Roman"/>
          <w:color w:val="000000"/>
          <w:sz w:val="24"/>
          <w:szCs w:val="24"/>
        </w:rPr>
        <w:t xml:space="preserve">53 F.3d 549 at 558; </w:t>
      </w:r>
      <w:r w:rsidRPr="003428FF">
        <w:rPr>
          <w:rFonts w:ascii="Times New Roman" w:eastAsia="Times New Roman" w:hAnsi="Times New Roman" w:cs="Times New Roman"/>
          <w:i/>
          <w:iCs/>
          <w:color w:val="000000"/>
          <w:sz w:val="24"/>
          <w:szCs w:val="24"/>
        </w:rPr>
        <w:t xml:space="preserve">see </w:t>
      </w:r>
      <w:r w:rsidRPr="003428FF">
        <w:rPr>
          <w:rFonts w:ascii="Times New Roman" w:eastAsia="Times New Roman" w:hAnsi="Times New Roman" w:cs="Times New Roman"/>
          <w:color w:val="000000"/>
          <w:sz w:val="24"/>
          <w:szCs w:val="24"/>
        </w:rPr>
        <w:t xml:space="preserve">17 U.S.C. § 101(2).  In interpreting the same provision of the 1976 Act, the Supreme Court has noted that adding more distinctions to the work for hire doctrine has no statutory support, even if they are “sound . . . as a matter of copyright policy.” </w:t>
      </w:r>
      <w:r w:rsidRPr="003428FF">
        <w:rPr>
          <w:rFonts w:ascii="Times New Roman" w:eastAsia="Times New Roman" w:hAnsi="Times New Roman" w:cs="Times New Roman"/>
          <w:i/>
          <w:iCs/>
          <w:color w:val="000000"/>
          <w:sz w:val="24"/>
          <w:szCs w:val="24"/>
        </w:rPr>
        <w:t>Cmty. for Creative Non-Violence</w:t>
      </w:r>
      <w:r w:rsidRPr="003428FF">
        <w:rPr>
          <w:rFonts w:ascii="Times New Roman" w:eastAsia="Times New Roman" w:hAnsi="Times New Roman" w:cs="Times New Roman"/>
          <w:color w:val="000000"/>
          <w:sz w:val="24"/>
          <w:szCs w:val="24"/>
        </w:rPr>
        <w:t xml:space="preserve">, 490 U.S. 730 at 742. As a general matter, the judiciary should treat statutory language as a representation of conscious choices; where there is statutory silence, the judiciary can infer that those issues have been left open for the courts to resolve. </w:t>
      </w:r>
      <w:r w:rsidRPr="003428FF">
        <w:rPr>
          <w:rFonts w:ascii="Times New Roman" w:eastAsia="Times New Roman" w:hAnsi="Times New Roman" w:cs="Times New Roman"/>
          <w:i/>
          <w:iCs/>
          <w:color w:val="000000"/>
          <w:sz w:val="24"/>
          <w:szCs w:val="24"/>
        </w:rPr>
        <w:t>See, e.g.</w:t>
      </w:r>
      <w:r w:rsidRPr="003428FF">
        <w:rPr>
          <w:rFonts w:ascii="Times New Roman" w:eastAsia="Times New Roman" w:hAnsi="Times New Roman" w:cs="Times New Roman"/>
          <w:color w:val="000000"/>
          <w:sz w:val="24"/>
          <w:szCs w:val="24"/>
        </w:rPr>
        <w:t>,</w:t>
      </w:r>
      <w:r w:rsidRPr="003428FF">
        <w:rPr>
          <w:rFonts w:ascii="Times New Roman" w:eastAsia="Times New Roman" w:hAnsi="Times New Roman" w:cs="Times New Roman"/>
          <w:i/>
          <w:iCs/>
          <w:color w:val="000000"/>
          <w:sz w:val="24"/>
          <w:szCs w:val="24"/>
        </w:rPr>
        <w:t xml:space="preserve"> Landgraf v. USI Film Products</w:t>
      </w:r>
      <w:r w:rsidRPr="003428FF">
        <w:rPr>
          <w:rFonts w:ascii="Times New Roman" w:eastAsia="Times New Roman" w:hAnsi="Times New Roman" w:cs="Times New Roman"/>
          <w:color w:val="000000"/>
          <w:sz w:val="24"/>
          <w:szCs w:val="24"/>
        </w:rPr>
        <w:t xml:space="preserve">, 511 U.S. 244, 263 (1994). Since there is no pre-creation requirement in the statute, the writing signed by both the parties as soon as Defendant retrieved her final payment was sufficient to meet the writing requirement, and the work is a work made for hire. </w:t>
      </w:r>
      <w:r w:rsidRPr="003428FF">
        <w:rPr>
          <w:rFonts w:ascii="Times New Roman" w:eastAsia="Times New Roman" w:hAnsi="Times New Roman" w:cs="Times New Roman"/>
          <w:i/>
          <w:iCs/>
          <w:color w:val="000000"/>
          <w:sz w:val="24"/>
          <w:szCs w:val="24"/>
        </w:rPr>
        <w:t>See TMTV Corp.</w:t>
      </w:r>
      <w:r w:rsidRPr="003428FF">
        <w:rPr>
          <w:rFonts w:ascii="Times New Roman" w:eastAsia="Times New Roman" w:hAnsi="Times New Roman" w:cs="Times New Roman"/>
          <w:color w:val="000000"/>
          <w:sz w:val="24"/>
          <w:szCs w:val="24"/>
        </w:rPr>
        <w:t>, 345 F.Supp.2d 196.</w:t>
      </w:r>
    </w:p>
    <w:p w14:paraId="46B29406" w14:textId="77777777" w:rsidR="003428FF" w:rsidRPr="003428FF" w:rsidRDefault="003428FF" w:rsidP="003428FF">
      <w:pPr>
        <w:pStyle w:val="ListParagraph"/>
        <w:numPr>
          <w:ilvl w:val="0"/>
          <w:numId w:val="2"/>
        </w:numPr>
        <w:spacing w:after="0" w:line="240" w:lineRule="auto"/>
        <w:ind w:left="1440"/>
        <w:rPr>
          <w:rFonts w:ascii="Times New Roman" w:eastAsia="Times New Roman" w:hAnsi="Times New Roman" w:cs="Times New Roman"/>
          <w:sz w:val="24"/>
          <w:szCs w:val="24"/>
        </w:rPr>
      </w:pPr>
      <w:r w:rsidRPr="003428FF">
        <w:rPr>
          <w:rFonts w:ascii="Times New Roman" w:eastAsia="Times New Roman" w:hAnsi="Times New Roman" w:cs="Times New Roman"/>
          <w:b/>
          <w:bCs/>
          <w:color w:val="000000"/>
          <w:sz w:val="24"/>
          <w:szCs w:val="24"/>
        </w:rPr>
        <w:t xml:space="preserve">There Is No Agreement to Counter the Presumption that Plaintiff Owns the Screenplay, Pursuant to 17 U.S.C. § 201(b) </w:t>
      </w:r>
    </w:p>
    <w:p w14:paraId="4BE58FEF" w14:textId="77777777" w:rsidR="003428FF" w:rsidRPr="003428FF" w:rsidRDefault="003428FF" w:rsidP="003428FF">
      <w:pPr>
        <w:spacing w:after="0" w:line="240" w:lineRule="auto"/>
        <w:rPr>
          <w:rFonts w:ascii="Times New Roman" w:eastAsia="Times New Roman" w:hAnsi="Times New Roman" w:cs="Times New Roman"/>
          <w:sz w:val="24"/>
          <w:szCs w:val="24"/>
        </w:rPr>
      </w:pPr>
    </w:p>
    <w:p w14:paraId="40CF90ED" w14:textId="77777777" w:rsidR="003428FF" w:rsidRPr="003428FF" w:rsidRDefault="003428FF" w:rsidP="003428FF">
      <w:pPr>
        <w:spacing w:after="0" w:line="480" w:lineRule="auto"/>
        <w:ind w:firstLine="720"/>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4"/>
          <w:szCs w:val="24"/>
        </w:rPr>
        <w:t xml:space="preserve">Once it is established that a work is made for hire, the hiring party is presumed to be the author of the work. 17 U.S.C. § 201(b). That presumption can only be overcome by evidence of a contrary agreement, either written or oral. </w:t>
      </w:r>
      <w:r w:rsidRPr="003428FF">
        <w:rPr>
          <w:rFonts w:ascii="Times New Roman" w:eastAsia="Times New Roman" w:hAnsi="Times New Roman" w:cs="Times New Roman"/>
          <w:i/>
          <w:iCs/>
          <w:color w:val="000000"/>
          <w:sz w:val="24"/>
          <w:szCs w:val="24"/>
        </w:rPr>
        <w:t>Battleboro Publ’g Co. v. Winmill Publ’g Corp.</w:t>
      </w:r>
      <w:r w:rsidRPr="003428FF">
        <w:rPr>
          <w:rFonts w:ascii="Times New Roman" w:eastAsia="Times New Roman" w:hAnsi="Times New Roman" w:cs="Times New Roman"/>
          <w:color w:val="000000"/>
          <w:sz w:val="24"/>
          <w:szCs w:val="24"/>
        </w:rPr>
        <w:t xml:space="preserve">, 369 F.2d 565, 568 (2d Cir. 1966).  However, there was no express or intended agreement on behalf of Plaintiff or Defendant that suggested Defendant would maintain any ownership or copyrights in the screenplay; Defendant’s multiple oral assents to proposition that the act would be a “work </w:t>
      </w:r>
      <w:r w:rsidRPr="003428FF">
        <w:rPr>
          <w:rFonts w:ascii="Times New Roman" w:eastAsia="Times New Roman" w:hAnsi="Times New Roman" w:cs="Times New Roman"/>
          <w:color w:val="000000"/>
          <w:sz w:val="24"/>
          <w:szCs w:val="24"/>
        </w:rPr>
        <w:lastRenderedPageBreak/>
        <w:t>made for hire” evidences the absence of any agreement in which either party thought the rights would be reserved to Defendant.</w:t>
      </w:r>
      <w:r w:rsidRPr="003428FF">
        <w:rPr>
          <w:rFonts w:ascii="Times New Roman" w:eastAsia="Times New Roman" w:hAnsi="Times New Roman" w:cs="Times New Roman"/>
          <w:b/>
          <w:bCs/>
          <w:color w:val="000000"/>
          <w:sz w:val="24"/>
          <w:szCs w:val="24"/>
        </w:rPr>
        <w:t xml:space="preserve"> </w:t>
      </w:r>
      <w:r w:rsidRPr="003428FF">
        <w:rPr>
          <w:rFonts w:ascii="Times New Roman" w:eastAsia="Times New Roman" w:hAnsi="Times New Roman" w:cs="Times New Roman"/>
          <w:color w:val="000000"/>
          <w:sz w:val="24"/>
          <w:szCs w:val="24"/>
        </w:rPr>
        <w:t>(</w:t>
      </w:r>
      <w:r w:rsidRPr="003428FF">
        <w:rPr>
          <w:rFonts w:ascii="Times New Roman" w:eastAsia="Times New Roman" w:hAnsi="Times New Roman" w:cs="Times New Roman"/>
          <w:i/>
          <w:iCs/>
          <w:color w:val="000000"/>
          <w:sz w:val="24"/>
          <w:szCs w:val="24"/>
        </w:rPr>
        <w:t xml:space="preserve">See </w:t>
      </w:r>
      <w:r w:rsidRPr="003428FF">
        <w:rPr>
          <w:rFonts w:ascii="Times New Roman" w:eastAsia="Times New Roman" w:hAnsi="Times New Roman" w:cs="Times New Roman"/>
          <w:color w:val="000000"/>
          <w:sz w:val="24"/>
          <w:szCs w:val="24"/>
        </w:rPr>
        <w:t xml:space="preserve">Compl. </w:t>
      </w:r>
      <w:r w:rsidRPr="003428FF">
        <w:rPr>
          <w:rFonts w:ascii="Times New Roman" w:eastAsia="Times New Roman" w:hAnsi="Times New Roman" w:cs="Times New Roman"/>
          <w:color w:val="000000"/>
          <w:sz w:val="23"/>
          <w:szCs w:val="23"/>
        </w:rPr>
        <w:t>¶¶ 13, 16, 17, 24.)</w:t>
      </w:r>
      <w:r w:rsidRPr="003428FF">
        <w:rPr>
          <w:rFonts w:ascii="Times New Roman" w:eastAsia="Times New Roman" w:hAnsi="Times New Roman" w:cs="Times New Roman"/>
          <w:color w:val="000000"/>
          <w:sz w:val="24"/>
          <w:szCs w:val="24"/>
        </w:rPr>
        <w:t xml:space="preserve">  </w:t>
      </w:r>
    </w:p>
    <w:p w14:paraId="75F7AA69" w14:textId="77777777" w:rsidR="002420EC" w:rsidRDefault="003428FF" w:rsidP="00425DCD">
      <w:pPr>
        <w:spacing w:after="0" w:line="480" w:lineRule="auto"/>
        <w:ind w:firstLine="720"/>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4"/>
          <w:szCs w:val="24"/>
        </w:rPr>
        <w:t>Defendant’s experience in the industry makes it unlikely that she would be confused about the arrangement. (</w:t>
      </w:r>
      <w:r w:rsidRPr="003428FF">
        <w:rPr>
          <w:rFonts w:ascii="Times New Roman" w:eastAsia="Times New Roman" w:hAnsi="Times New Roman" w:cs="Times New Roman"/>
          <w:i/>
          <w:iCs/>
          <w:color w:val="000000"/>
          <w:sz w:val="24"/>
          <w:szCs w:val="24"/>
        </w:rPr>
        <w:t xml:space="preserve">See </w:t>
      </w:r>
      <w:r w:rsidRPr="003428FF">
        <w:rPr>
          <w:rFonts w:ascii="Times New Roman" w:eastAsia="Times New Roman" w:hAnsi="Times New Roman" w:cs="Times New Roman"/>
          <w:color w:val="000000"/>
          <w:sz w:val="24"/>
          <w:szCs w:val="24"/>
        </w:rPr>
        <w:t xml:space="preserve">Compl. </w:t>
      </w:r>
      <w:r w:rsidRPr="003428FF">
        <w:rPr>
          <w:rFonts w:ascii="Times New Roman" w:eastAsia="Times New Roman" w:hAnsi="Times New Roman" w:cs="Times New Roman"/>
          <w:color w:val="000000"/>
          <w:sz w:val="23"/>
          <w:szCs w:val="23"/>
        </w:rPr>
        <w:t>¶11.)</w:t>
      </w:r>
      <w:r w:rsidRPr="003428FF">
        <w:rPr>
          <w:rFonts w:ascii="Times New Roman" w:eastAsia="Times New Roman" w:hAnsi="Times New Roman" w:cs="Times New Roman"/>
          <w:color w:val="000000"/>
          <w:sz w:val="24"/>
          <w:szCs w:val="24"/>
        </w:rPr>
        <w:t xml:space="preserve"> Even if she were uncertain at the time she agreed to prepare the screenplay, Defendant conveyed in writing, pursuant to 17 USC § 204(a), whatever rights she did retain in the screenplay to Plaintiff upon receipt of her final payment. </w:t>
      </w:r>
      <w:r w:rsidRPr="003428FF">
        <w:rPr>
          <w:rFonts w:ascii="Times New Roman" w:eastAsia="Times New Roman" w:hAnsi="Times New Roman" w:cs="Times New Roman"/>
          <w:i/>
          <w:iCs/>
          <w:color w:val="000000"/>
          <w:sz w:val="24"/>
          <w:szCs w:val="24"/>
        </w:rPr>
        <w:t>Torres v. E.I. Dupont De Nemours &amp; Co.</w:t>
      </w:r>
      <w:r w:rsidRPr="003428FF">
        <w:rPr>
          <w:rFonts w:ascii="Times New Roman" w:eastAsia="Times New Roman" w:hAnsi="Times New Roman" w:cs="Times New Roman"/>
          <w:color w:val="000000"/>
          <w:sz w:val="24"/>
          <w:szCs w:val="24"/>
        </w:rPr>
        <w:t xml:space="preserve">, 219 F.3d 13, 18 (1st Cir. 2000); </w:t>
      </w:r>
      <w:r w:rsidRPr="003428FF">
        <w:rPr>
          <w:rFonts w:ascii="Times New Roman" w:eastAsia="Times New Roman" w:hAnsi="Times New Roman" w:cs="Times New Roman"/>
          <w:i/>
          <w:iCs/>
          <w:color w:val="000000"/>
          <w:sz w:val="24"/>
          <w:szCs w:val="24"/>
        </w:rPr>
        <w:t>see also TMTV</w:t>
      </w:r>
      <w:r w:rsidRPr="003428FF">
        <w:rPr>
          <w:rFonts w:ascii="Times New Roman" w:eastAsia="Times New Roman" w:hAnsi="Times New Roman" w:cs="Times New Roman"/>
          <w:color w:val="000000"/>
          <w:sz w:val="24"/>
          <w:szCs w:val="24"/>
        </w:rPr>
        <w:t xml:space="preserve">, 645 F.3d 464 at 470 (1st Cir. 2011)(adopting the reasoning from </w:t>
      </w:r>
      <w:r w:rsidRPr="003428FF">
        <w:rPr>
          <w:rFonts w:ascii="Times New Roman" w:eastAsia="Times New Roman" w:hAnsi="Times New Roman" w:cs="Times New Roman"/>
          <w:i/>
          <w:iCs/>
          <w:color w:val="000000"/>
          <w:sz w:val="24"/>
          <w:szCs w:val="24"/>
        </w:rPr>
        <w:t>Torres</w:t>
      </w:r>
      <w:r w:rsidRPr="003428FF">
        <w:rPr>
          <w:rFonts w:ascii="Times New Roman" w:eastAsia="Times New Roman" w:hAnsi="Times New Roman" w:cs="Times New Roman"/>
          <w:color w:val="000000"/>
          <w:sz w:val="24"/>
          <w:szCs w:val="24"/>
        </w:rPr>
        <w:t xml:space="preserve">); </w:t>
      </w:r>
      <w:r w:rsidRPr="003428FF">
        <w:rPr>
          <w:rFonts w:ascii="Times New Roman" w:eastAsia="Times New Roman" w:hAnsi="Times New Roman" w:cs="Times New Roman"/>
          <w:i/>
          <w:iCs/>
          <w:color w:val="000000"/>
          <w:sz w:val="24"/>
          <w:szCs w:val="24"/>
        </w:rPr>
        <w:t xml:space="preserve">see </w:t>
      </w:r>
      <w:r w:rsidRPr="003428FF">
        <w:rPr>
          <w:rFonts w:ascii="Times New Roman" w:eastAsia="Times New Roman" w:hAnsi="Times New Roman" w:cs="Times New Roman"/>
          <w:color w:val="000000"/>
          <w:sz w:val="24"/>
          <w:szCs w:val="24"/>
        </w:rPr>
        <w:t xml:space="preserve">(Compl. </w:t>
      </w:r>
      <w:r w:rsidRPr="003428FF">
        <w:rPr>
          <w:rFonts w:ascii="Times New Roman" w:eastAsia="Times New Roman" w:hAnsi="Times New Roman" w:cs="Times New Roman"/>
          <w:color w:val="000000"/>
          <w:sz w:val="23"/>
          <w:szCs w:val="23"/>
        </w:rPr>
        <w:t xml:space="preserve">¶ 24). </w:t>
      </w:r>
      <w:r w:rsidRPr="003428FF">
        <w:rPr>
          <w:rFonts w:ascii="Times New Roman" w:eastAsia="Times New Roman" w:hAnsi="Times New Roman" w:cs="Times New Roman"/>
          <w:color w:val="000000"/>
          <w:sz w:val="24"/>
          <w:szCs w:val="24"/>
        </w:rPr>
        <w:t xml:space="preserve">Unless Defendant can produce evidence of an agreement that runs contrary to the general work made for hire presumption, Defendant cannot argue that she maintained any rights in the screenplay. </w:t>
      </w:r>
      <w:r w:rsidRPr="003428FF">
        <w:rPr>
          <w:rFonts w:ascii="Times New Roman" w:eastAsia="Times New Roman" w:hAnsi="Times New Roman" w:cs="Times New Roman"/>
          <w:i/>
          <w:iCs/>
          <w:color w:val="000000"/>
          <w:sz w:val="24"/>
          <w:szCs w:val="24"/>
        </w:rPr>
        <w:t>Real Estate Data, Inc. v. Sidwell Co.</w:t>
      </w:r>
      <w:r w:rsidRPr="003428FF">
        <w:rPr>
          <w:rFonts w:ascii="Times New Roman" w:eastAsia="Times New Roman" w:hAnsi="Times New Roman" w:cs="Times New Roman"/>
          <w:color w:val="000000"/>
          <w:sz w:val="24"/>
          <w:szCs w:val="24"/>
        </w:rPr>
        <w:t xml:space="preserve">, 809 F.2d 366, 371 (1987) (noting that burden of proof is on the independent contractor to demonstrate by a preponderance of the evidence that there was any contrary agreement). </w:t>
      </w:r>
    </w:p>
    <w:p w14:paraId="395187F0" w14:textId="77777777" w:rsidR="003428FF" w:rsidRPr="003428FF" w:rsidRDefault="003428FF" w:rsidP="003428FF">
      <w:pPr>
        <w:pStyle w:val="ListParagraph"/>
        <w:numPr>
          <w:ilvl w:val="0"/>
          <w:numId w:val="2"/>
        </w:numPr>
        <w:spacing w:after="0" w:line="240" w:lineRule="auto"/>
        <w:ind w:left="1440"/>
        <w:rPr>
          <w:rFonts w:ascii="Times New Roman" w:eastAsia="Times New Roman" w:hAnsi="Times New Roman" w:cs="Times New Roman"/>
          <w:sz w:val="24"/>
          <w:szCs w:val="24"/>
        </w:rPr>
      </w:pPr>
      <w:r w:rsidRPr="003428FF">
        <w:rPr>
          <w:rFonts w:ascii="Times New Roman" w:eastAsia="Times New Roman" w:hAnsi="Times New Roman" w:cs="Times New Roman"/>
          <w:b/>
          <w:bCs/>
          <w:color w:val="000000"/>
          <w:sz w:val="24"/>
          <w:szCs w:val="24"/>
        </w:rPr>
        <w:t xml:space="preserve">Even If the Statutory Language Is Ambiguous, the Legislative History Supports the Position that Ownership of the Copyright Vests in Plaintiff </w:t>
      </w:r>
    </w:p>
    <w:p w14:paraId="07D8DD87" w14:textId="77777777" w:rsidR="003428FF" w:rsidRPr="003428FF" w:rsidRDefault="003428FF" w:rsidP="003428FF">
      <w:pPr>
        <w:pStyle w:val="ListParagraph"/>
        <w:spacing w:after="0" w:line="240" w:lineRule="auto"/>
        <w:ind w:left="1267"/>
        <w:rPr>
          <w:rFonts w:ascii="Times New Roman" w:eastAsia="Times New Roman" w:hAnsi="Times New Roman" w:cs="Times New Roman"/>
          <w:sz w:val="24"/>
          <w:szCs w:val="24"/>
        </w:rPr>
      </w:pPr>
    </w:p>
    <w:p w14:paraId="25B747A1" w14:textId="77777777" w:rsidR="003428FF" w:rsidRPr="003428FF" w:rsidRDefault="003428FF" w:rsidP="003428FF">
      <w:pPr>
        <w:spacing w:after="0" w:line="480" w:lineRule="auto"/>
        <w:ind w:firstLine="720"/>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4"/>
          <w:szCs w:val="24"/>
        </w:rPr>
        <w:t xml:space="preserve">Development of the statute from 1909 to 1976 also supports a finding for Plaintiff. The 1976 Act almost completely revised existing copyright laws. </w:t>
      </w:r>
      <w:r w:rsidRPr="003428FF">
        <w:rPr>
          <w:rFonts w:ascii="Times New Roman" w:eastAsia="Times New Roman" w:hAnsi="Times New Roman" w:cs="Times New Roman"/>
          <w:i/>
          <w:iCs/>
          <w:color w:val="000000"/>
          <w:sz w:val="24"/>
          <w:szCs w:val="24"/>
        </w:rPr>
        <w:t>Cmty. for Creative Non-Violence</w:t>
      </w:r>
      <w:r w:rsidRPr="003428FF">
        <w:rPr>
          <w:rFonts w:ascii="Times New Roman" w:eastAsia="Times New Roman" w:hAnsi="Times New Roman" w:cs="Times New Roman"/>
          <w:color w:val="000000"/>
          <w:sz w:val="24"/>
          <w:szCs w:val="24"/>
        </w:rPr>
        <w:t xml:space="preserve">, 490 U.S. 730 at 743. The 1976 Act was a product of over 20 years of negotiation by representatives of creators and copyright-using industries, supervised by the Copyright Office. </w:t>
      </w:r>
      <w:r w:rsidRPr="003428FF">
        <w:rPr>
          <w:rFonts w:ascii="Times New Roman" w:eastAsia="Times New Roman" w:hAnsi="Times New Roman" w:cs="Times New Roman"/>
          <w:i/>
          <w:iCs/>
          <w:color w:val="000000"/>
          <w:sz w:val="24"/>
          <w:szCs w:val="24"/>
        </w:rPr>
        <w:t>Id.</w:t>
      </w:r>
      <w:r w:rsidRPr="003428FF">
        <w:rPr>
          <w:rFonts w:ascii="Times New Roman" w:eastAsia="Times New Roman" w:hAnsi="Times New Roman" w:cs="Times New Roman"/>
          <w:color w:val="000000"/>
          <w:sz w:val="24"/>
          <w:szCs w:val="24"/>
        </w:rPr>
        <w:t xml:space="preserve"> This was, indeed, a “historic compromise.” </w:t>
      </w:r>
      <w:r w:rsidRPr="003428FF">
        <w:rPr>
          <w:rFonts w:ascii="Times New Roman" w:eastAsia="Times New Roman" w:hAnsi="Times New Roman" w:cs="Times New Roman"/>
          <w:i/>
          <w:iCs/>
          <w:color w:val="000000"/>
          <w:sz w:val="24"/>
          <w:szCs w:val="24"/>
        </w:rPr>
        <w:t>Cmty. for Creative Non-Violence</w:t>
      </w:r>
      <w:r w:rsidRPr="003428FF">
        <w:rPr>
          <w:rFonts w:ascii="Times New Roman" w:eastAsia="Times New Roman" w:hAnsi="Times New Roman" w:cs="Times New Roman"/>
          <w:color w:val="000000"/>
          <w:sz w:val="24"/>
          <w:szCs w:val="24"/>
        </w:rPr>
        <w:t xml:space="preserve">, 490 U.S. 730 at 746. Since the 1976 Act is a product of such intense bipartisan and expert and laymen negotiations, it is particularly appropriate for the court to strictly adhere to the language and the structure of the 1976 Act. </w:t>
      </w:r>
      <w:r w:rsidRPr="003428FF">
        <w:rPr>
          <w:rFonts w:ascii="Times New Roman" w:eastAsia="Times New Roman" w:hAnsi="Times New Roman" w:cs="Times New Roman"/>
          <w:i/>
          <w:iCs/>
          <w:color w:val="000000"/>
          <w:sz w:val="24"/>
          <w:szCs w:val="24"/>
        </w:rPr>
        <w:t>See Rodriguez v. Compass Shipping Co.</w:t>
      </w:r>
      <w:r w:rsidRPr="003428FF">
        <w:rPr>
          <w:rFonts w:ascii="Times New Roman" w:eastAsia="Times New Roman" w:hAnsi="Times New Roman" w:cs="Times New Roman"/>
          <w:color w:val="000000"/>
          <w:sz w:val="24"/>
          <w:szCs w:val="24"/>
        </w:rPr>
        <w:t xml:space="preserve">, 451 U.S. 596, 617 (1981). </w:t>
      </w:r>
      <w:r w:rsidRPr="003428FF">
        <w:rPr>
          <w:rFonts w:ascii="Times New Roman" w:eastAsia="Times New Roman" w:hAnsi="Times New Roman" w:cs="Times New Roman"/>
          <w:color w:val="000000"/>
          <w:sz w:val="24"/>
          <w:szCs w:val="24"/>
        </w:rPr>
        <w:lastRenderedPageBreak/>
        <w:t xml:space="preserve">The language and structure of the statute do not require an advance writing in order for a valid work made for hire to exist. </w:t>
      </w:r>
      <w:r w:rsidRPr="003428FF">
        <w:rPr>
          <w:rFonts w:ascii="Times New Roman" w:eastAsia="Times New Roman" w:hAnsi="Times New Roman" w:cs="Times New Roman"/>
          <w:i/>
          <w:iCs/>
          <w:color w:val="000000"/>
          <w:sz w:val="24"/>
          <w:szCs w:val="24"/>
        </w:rPr>
        <w:t xml:space="preserve">See </w:t>
      </w:r>
      <w:r w:rsidRPr="003428FF">
        <w:rPr>
          <w:rFonts w:ascii="Times New Roman" w:eastAsia="Times New Roman" w:hAnsi="Times New Roman" w:cs="Times New Roman"/>
          <w:color w:val="000000"/>
          <w:sz w:val="24"/>
          <w:szCs w:val="24"/>
        </w:rPr>
        <w:t xml:space="preserve">17 U.S.C. §101(2). </w:t>
      </w:r>
    </w:p>
    <w:p w14:paraId="0343BF30" w14:textId="77777777" w:rsidR="003428FF" w:rsidRPr="003428FF" w:rsidRDefault="003428FF" w:rsidP="003428FF">
      <w:pPr>
        <w:spacing w:after="0" w:line="480" w:lineRule="auto"/>
        <w:ind w:firstLine="720"/>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4"/>
          <w:szCs w:val="24"/>
        </w:rPr>
        <w:t xml:space="preserve">The Court has also noted that adding other distinctions that were not contemplated during the drafting of the Copyright Act would “unravel the carefully worked out compromise aimed at balancing legitimate interests on both sides.” </w:t>
      </w:r>
      <w:r w:rsidRPr="003428FF">
        <w:rPr>
          <w:rFonts w:ascii="Times New Roman" w:eastAsia="Times New Roman" w:hAnsi="Times New Roman" w:cs="Times New Roman"/>
          <w:i/>
          <w:iCs/>
          <w:color w:val="000000"/>
          <w:sz w:val="24"/>
          <w:szCs w:val="24"/>
        </w:rPr>
        <w:t>Cmty. for Creative Non-Violence</w:t>
      </w:r>
      <w:r w:rsidRPr="003428FF">
        <w:rPr>
          <w:rFonts w:ascii="Times New Roman" w:eastAsia="Times New Roman" w:hAnsi="Times New Roman" w:cs="Times New Roman"/>
          <w:color w:val="000000"/>
          <w:sz w:val="24"/>
          <w:szCs w:val="24"/>
        </w:rPr>
        <w:t xml:space="preserve">, 490 U.S. 730 at 748, </w:t>
      </w:r>
      <w:r w:rsidRPr="003428FF">
        <w:rPr>
          <w:rFonts w:ascii="Times New Roman" w:eastAsia="Times New Roman" w:hAnsi="Times New Roman" w:cs="Times New Roman"/>
          <w:sz w:val="24"/>
          <w:szCs w:val="24"/>
        </w:rPr>
        <w:t>citing</w:t>
      </w:r>
      <w:r w:rsidRPr="003428FF">
        <w:rPr>
          <w:rFonts w:ascii="Times New Roman" w:eastAsia="Times New Roman" w:hAnsi="Times New Roman" w:cs="Times New Roman"/>
          <w:color w:val="FF0000"/>
          <w:sz w:val="24"/>
          <w:szCs w:val="24"/>
        </w:rPr>
        <w:t xml:space="preserve"> </w:t>
      </w:r>
      <w:r w:rsidR="002420EC" w:rsidRPr="003428FF">
        <w:rPr>
          <w:rFonts w:ascii="Times New Roman" w:eastAsia="Times New Roman" w:hAnsi="Times New Roman" w:cs="Times New Roman"/>
          <w:smallCaps/>
          <w:sz w:val="24"/>
          <w:szCs w:val="24"/>
        </w:rPr>
        <w:t>The Register of Copyrights, Second Supplementary Report of the Register of Copyrights on the General Revision of the U.S. Copyright Law: 1964 Revision Bill</w:t>
      </w:r>
      <w:r w:rsidR="002420EC" w:rsidRPr="003428FF">
        <w:rPr>
          <w:rFonts w:ascii="Times New Roman" w:eastAsia="Times New Roman" w:hAnsi="Times New Roman" w:cs="Times New Roman"/>
          <w:color w:val="FF0000"/>
          <w:sz w:val="24"/>
          <w:szCs w:val="24"/>
        </w:rPr>
        <w:t xml:space="preserve"> </w:t>
      </w:r>
      <w:r w:rsidR="00425DCD" w:rsidRPr="00425DCD">
        <w:rPr>
          <w:rFonts w:ascii="Times New Roman" w:eastAsia="Times New Roman" w:hAnsi="Times New Roman" w:cs="Times New Roman"/>
          <w:sz w:val="24"/>
          <w:szCs w:val="24"/>
        </w:rPr>
        <w:t>66</w:t>
      </w:r>
      <w:r w:rsidR="00425DCD">
        <w:rPr>
          <w:rFonts w:ascii="Times New Roman" w:eastAsia="Times New Roman" w:hAnsi="Times New Roman" w:cs="Times New Roman"/>
          <w:color w:val="FF0000"/>
          <w:sz w:val="24"/>
          <w:szCs w:val="24"/>
        </w:rPr>
        <w:t xml:space="preserve"> </w:t>
      </w:r>
      <w:r w:rsidR="002420EC">
        <w:rPr>
          <w:rFonts w:ascii="Times New Roman" w:eastAsia="Times New Roman" w:hAnsi="Times New Roman" w:cs="Times New Roman"/>
          <w:sz w:val="24"/>
          <w:szCs w:val="24"/>
        </w:rPr>
        <w:t>(1964</w:t>
      </w:r>
      <w:r w:rsidR="002420EC" w:rsidRPr="00292D9F">
        <w:rPr>
          <w:rFonts w:ascii="Times New Roman" w:eastAsia="Times New Roman" w:hAnsi="Times New Roman" w:cs="Times New Roman"/>
          <w:sz w:val="24"/>
          <w:szCs w:val="24"/>
        </w:rPr>
        <w:t>)</w:t>
      </w:r>
      <w:r w:rsidR="002420EC">
        <w:rPr>
          <w:rFonts w:ascii="Times New Roman" w:eastAsia="Times New Roman" w:hAnsi="Times New Roman" w:cs="Times New Roman"/>
          <w:sz w:val="24"/>
          <w:szCs w:val="24"/>
        </w:rPr>
        <w:t>.</w:t>
      </w:r>
      <w:r w:rsidRPr="003428FF">
        <w:rPr>
          <w:rFonts w:ascii="Times New Roman" w:eastAsia="Times New Roman" w:hAnsi="Times New Roman" w:cs="Times New Roman"/>
          <w:color w:val="000000"/>
          <w:sz w:val="24"/>
          <w:szCs w:val="24"/>
        </w:rPr>
        <w:t xml:space="preserve"> If Congress is silent on an issue, it ordinarily means that it meant to be silent. </w:t>
      </w:r>
      <w:r w:rsidRPr="003428FF">
        <w:rPr>
          <w:rFonts w:ascii="Times New Roman" w:eastAsia="Times New Roman" w:hAnsi="Times New Roman" w:cs="Times New Roman"/>
          <w:i/>
          <w:iCs/>
          <w:color w:val="000000"/>
          <w:sz w:val="24"/>
          <w:szCs w:val="24"/>
        </w:rPr>
        <w:t>Alaska Airlines v. Brock</w:t>
      </w:r>
      <w:r w:rsidRPr="003428FF">
        <w:rPr>
          <w:rFonts w:ascii="Times New Roman" w:eastAsia="Times New Roman" w:hAnsi="Times New Roman" w:cs="Times New Roman"/>
          <w:color w:val="000000"/>
          <w:sz w:val="24"/>
          <w:szCs w:val="24"/>
        </w:rPr>
        <w:t xml:space="preserve">, 480 U.S. 678 (1987). In the 1909 version of the statute, Congress was silent as to the precise scope of the definition of “employee,” and it left courts to fill this gap in understanding. Congress’s acquiescence to courts’ interpretations </w:t>
      </w:r>
      <w:r w:rsidR="00425DCD" w:rsidRPr="003428FF">
        <w:rPr>
          <w:rFonts w:ascii="Times New Roman" w:eastAsia="Times New Roman" w:hAnsi="Times New Roman" w:cs="Times New Roman"/>
          <w:color w:val="000000"/>
          <w:sz w:val="24"/>
          <w:szCs w:val="24"/>
        </w:rPr>
        <w:t>implies</w:t>
      </w:r>
      <w:r w:rsidRPr="003428FF">
        <w:rPr>
          <w:rFonts w:ascii="Times New Roman" w:eastAsia="Times New Roman" w:hAnsi="Times New Roman" w:cs="Times New Roman"/>
          <w:color w:val="000000"/>
          <w:sz w:val="24"/>
          <w:szCs w:val="24"/>
        </w:rPr>
        <w:t xml:space="preserve"> that the enacting legislature intended </w:t>
      </w:r>
      <w:r w:rsidR="00425DCD">
        <w:rPr>
          <w:rFonts w:ascii="Times New Roman" w:eastAsia="Times New Roman" w:hAnsi="Times New Roman" w:cs="Times New Roman"/>
          <w:color w:val="000000"/>
          <w:sz w:val="24"/>
          <w:szCs w:val="24"/>
        </w:rPr>
        <w:t>the judiciary fill the</w:t>
      </w:r>
      <w:r w:rsidRPr="003428FF">
        <w:rPr>
          <w:rFonts w:ascii="Times New Roman" w:eastAsia="Times New Roman" w:hAnsi="Times New Roman" w:cs="Times New Roman"/>
          <w:color w:val="000000"/>
          <w:sz w:val="24"/>
          <w:szCs w:val="24"/>
        </w:rPr>
        <w:t xml:space="preserve"> void. In the Revision discussion, the Committee was careful to take previous judicial interpretations into account. </w:t>
      </w:r>
      <w:r w:rsidR="002420EC" w:rsidRPr="003428FF">
        <w:rPr>
          <w:rFonts w:ascii="Times New Roman" w:eastAsia="Times New Roman" w:hAnsi="Times New Roman" w:cs="Times New Roman"/>
          <w:smallCaps/>
          <w:sz w:val="24"/>
          <w:szCs w:val="24"/>
        </w:rPr>
        <w:t>The Register of Copyrights, Second Supplementary Report of the Register of Copyrights on the General Revision of the U.S. Copyright Law: 1964 Revision Bill</w:t>
      </w:r>
      <w:r w:rsidR="002420EC" w:rsidRPr="003428FF">
        <w:rPr>
          <w:rFonts w:ascii="Times New Roman" w:eastAsia="Times New Roman" w:hAnsi="Times New Roman" w:cs="Times New Roman"/>
          <w:color w:val="FF0000"/>
          <w:sz w:val="24"/>
          <w:szCs w:val="24"/>
        </w:rPr>
        <w:t xml:space="preserve"> </w:t>
      </w:r>
      <w:r w:rsidR="002420EC" w:rsidRPr="002420EC">
        <w:rPr>
          <w:rFonts w:ascii="Times New Roman" w:eastAsia="Times New Roman" w:hAnsi="Times New Roman" w:cs="Times New Roman"/>
          <w:sz w:val="24"/>
          <w:szCs w:val="24"/>
        </w:rPr>
        <w:t>145</w:t>
      </w:r>
      <w:r w:rsidR="002420EC">
        <w:rPr>
          <w:rFonts w:ascii="Times New Roman" w:eastAsia="Times New Roman" w:hAnsi="Times New Roman" w:cs="Times New Roman"/>
          <w:color w:val="FF0000"/>
          <w:sz w:val="24"/>
          <w:szCs w:val="24"/>
        </w:rPr>
        <w:t xml:space="preserve"> </w:t>
      </w:r>
      <w:r w:rsidR="002420EC">
        <w:rPr>
          <w:rFonts w:ascii="Times New Roman" w:eastAsia="Times New Roman" w:hAnsi="Times New Roman" w:cs="Times New Roman"/>
          <w:sz w:val="24"/>
          <w:szCs w:val="24"/>
        </w:rPr>
        <w:t>(1964</w:t>
      </w:r>
      <w:r w:rsidR="002420EC" w:rsidRPr="00292D9F">
        <w:rPr>
          <w:rFonts w:ascii="Times New Roman" w:eastAsia="Times New Roman" w:hAnsi="Times New Roman" w:cs="Times New Roman"/>
          <w:sz w:val="24"/>
          <w:szCs w:val="24"/>
        </w:rPr>
        <w:t>)</w:t>
      </w:r>
      <w:r w:rsidR="002420EC">
        <w:rPr>
          <w:rFonts w:ascii="Times New Roman" w:eastAsia="Times New Roman" w:hAnsi="Times New Roman" w:cs="Times New Roman"/>
          <w:sz w:val="24"/>
          <w:szCs w:val="24"/>
        </w:rPr>
        <w:t>.</w:t>
      </w:r>
      <w:r w:rsidRPr="003428FF">
        <w:rPr>
          <w:rFonts w:ascii="Times New Roman" w:eastAsia="Times New Roman" w:hAnsi="Times New Roman" w:cs="Times New Roman"/>
          <w:i/>
          <w:iCs/>
          <w:color w:val="FF0000"/>
          <w:sz w:val="24"/>
          <w:szCs w:val="24"/>
        </w:rPr>
        <w:t xml:space="preserve"> </w:t>
      </w:r>
      <w:r w:rsidRPr="003428FF">
        <w:rPr>
          <w:rFonts w:ascii="Times New Roman" w:eastAsia="Times New Roman" w:hAnsi="Times New Roman" w:cs="Times New Roman"/>
          <w:color w:val="000000"/>
          <w:sz w:val="24"/>
          <w:szCs w:val="24"/>
        </w:rPr>
        <w:t xml:space="preserve">Since Congress has been silent as to the timing of the written instrument as well, it is logical to refer to the previous practice of incorporating judicial interpretations to fill the void where Congress expresses no particular intention. </w:t>
      </w:r>
      <w:r w:rsidRPr="003428FF">
        <w:rPr>
          <w:rFonts w:ascii="Times New Roman" w:eastAsia="Times New Roman" w:hAnsi="Times New Roman" w:cs="Times New Roman"/>
          <w:i/>
          <w:iCs/>
          <w:color w:val="000000"/>
          <w:sz w:val="24"/>
          <w:szCs w:val="24"/>
        </w:rPr>
        <w:t>See NLRB v. Health Care &amp; Retirement Corp.</w:t>
      </w:r>
      <w:r w:rsidRPr="003428FF">
        <w:rPr>
          <w:rFonts w:ascii="Times New Roman" w:eastAsia="Times New Roman" w:hAnsi="Times New Roman" w:cs="Times New Roman"/>
          <w:color w:val="000000"/>
          <w:sz w:val="24"/>
          <w:szCs w:val="24"/>
        </w:rPr>
        <w:t xml:space="preserve">, 511 U.S. 571, 582 (1994). </w:t>
      </w:r>
    </w:p>
    <w:p w14:paraId="590A43CA" w14:textId="77777777" w:rsidR="003428FF" w:rsidRPr="003428FF" w:rsidRDefault="003428FF" w:rsidP="003428FF">
      <w:pPr>
        <w:spacing w:after="0" w:line="480" w:lineRule="auto"/>
        <w:ind w:firstLine="720"/>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4"/>
          <w:szCs w:val="24"/>
        </w:rPr>
        <w:t xml:space="preserve">Circuit courts have been taking action to determine the meaning of silence in the Copyright Act regarding the timing of the agreement. </w:t>
      </w:r>
      <w:r w:rsidRPr="003428FF">
        <w:rPr>
          <w:rFonts w:ascii="Times New Roman" w:eastAsia="Times New Roman" w:hAnsi="Times New Roman" w:cs="Times New Roman"/>
          <w:i/>
          <w:iCs/>
          <w:color w:val="000000"/>
          <w:sz w:val="24"/>
          <w:szCs w:val="24"/>
        </w:rPr>
        <w:t xml:space="preserve">Playboy </w:t>
      </w:r>
      <w:r w:rsidRPr="003428FF">
        <w:rPr>
          <w:rFonts w:ascii="Times New Roman" w:eastAsia="Times New Roman" w:hAnsi="Times New Roman" w:cs="Times New Roman"/>
          <w:color w:val="000000"/>
          <w:sz w:val="24"/>
          <w:szCs w:val="24"/>
        </w:rPr>
        <w:t xml:space="preserve">53 F.2d 549; </w:t>
      </w:r>
      <w:r w:rsidRPr="003428FF">
        <w:rPr>
          <w:rFonts w:ascii="Times New Roman" w:eastAsia="Times New Roman" w:hAnsi="Times New Roman" w:cs="Times New Roman"/>
          <w:i/>
          <w:iCs/>
          <w:color w:val="000000"/>
          <w:sz w:val="24"/>
          <w:szCs w:val="24"/>
        </w:rPr>
        <w:t xml:space="preserve">TMTV </w:t>
      </w:r>
      <w:r w:rsidRPr="003428FF">
        <w:rPr>
          <w:rFonts w:ascii="Times New Roman" w:eastAsia="Times New Roman" w:hAnsi="Times New Roman" w:cs="Times New Roman"/>
          <w:color w:val="000000"/>
          <w:sz w:val="24"/>
          <w:szCs w:val="24"/>
        </w:rPr>
        <w:t xml:space="preserve">645 F.3d 464; </w:t>
      </w:r>
      <w:r w:rsidRPr="003428FF">
        <w:rPr>
          <w:rFonts w:ascii="Times New Roman" w:eastAsia="Times New Roman" w:hAnsi="Times New Roman" w:cs="Times New Roman"/>
          <w:i/>
          <w:iCs/>
          <w:color w:val="000000"/>
          <w:sz w:val="24"/>
          <w:szCs w:val="24"/>
        </w:rPr>
        <w:t>Eden Toys, Inc. v. Florelee Undergarment Co., Inc.</w:t>
      </w:r>
      <w:r w:rsidRPr="003428FF">
        <w:rPr>
          <w:rFonts w:ascii="Times New Roman" w:eastAsia="Times New Roman" w:hAnsi="Times New Roman" w:cs="Times New Roman"/>
          <w:color w:val="000000"/>
          <w:sz w:val="24"/>
          <w:szCs w:val="24"/>
        </w:rPr>
        <w:t xml:space="preserve">, 697 F.2d 27, 36 (2d Cir. 1982). These decisions conflict with comments made by Barbara Ringer, who became the Acting Register of Copyrights after the Copyright Act was passed. </w:t>
      </w:r>
      <w:r w:rsidRPr="003428FF">
        <w:rPr>
          <w:rFonts w:ascii="Times New Roman" w:eastAsia="Times New Roman" w:hAnsi="Times New Roman" w:cs="Times New Roman"/>
          <w:i/>
          <w:iCs/>
          <w:color w:val="000000"/>
          <w:sz w:val="24"/>
          <w:szCs w:val="24"/>
        </w:rPr>
        <w:t>See</w:t>
      </w:r>
      <w:r w:rsidRPr="003428FF">
        <w:rPr>
          <w:rFonts w:ascii="Times New Roman" w:eastAsia="Times New Roman" w:hAnsi="Times New Roman" w:cs="Times New Roman"/>
          <w:color w:val="000000"/>
          <w:sz w:val="24"/>
          <w:szCs w:val="24"/>
        </w:rPr>
        <w:t xml:space="preserve"> </w:t>
      </w:r>
      <w:r w:rsidRPr="003428FF">
        <w:rPr>
          <w:rFonts w:ascii="Times New Roman" w:eastAsia="Times New Roman" w:hAnsi="Times New Roman" w:cs="Times New Roman"/>
          <w:sz w:val="24"/>
          <w:szCs w:val="24"/>
        </w:rPr>
        <w:t xml:space="preserve">Judith Nierman, </w:t>
      </w:r>
      <w:r w:rsidRPr="003428FF">
        <w:rPr>
          <w:rFonts w:ascii="Times New Roman" w:eastAsia="Times New Roman" w:hAnsi="Times New Roman" w:cs="Times New Roman"/>
          <w:i/>
          <w:iCs/>
          <w:sz w:val="24"/>
          <w:szCs w:val="24"/>
        </w:rPr>
        <w:t>Barbara Ringer: 1925-</w:t>
      </w:r>
      <w:r w:rsidRPr="003428FF">
        <w:rPr>
          <w:rFonts w:ascii="Times New Roman" w:eastAsia="Times New Roman" w:hAnsi="Times New Roman" w:cs="Times New Roman"/>
          <w:i/>
          <w:iCs/>
          <w:sz w:val="24"/>
          <w:szCs w:val="24"/>
        </w:rPr>
        <w:lastRenderedPageBreak/>
        <w:t>2009</w:t>
      </w:r>
      <w:r w:rsidRPr="003428FF">
        <w:rPr>
          <w:rFonts w:ascii="Times New Roman" w:eastAsia="Times New Roman" w:hAnsi="Times New Roman" w:cs="Times New Roman"/>
          <w:sz w:val="24"/>
          <w:szCs w:val="24"/>
        </w:rPr>
        <w:t xml:space="preserve">, COPYRIGHT NOTICES 1, 2 (April 2009), </w:t>
      </w:r>
      <w:hyperlink r:id="rId9" w:history="1">
        <w:r w:rsidRPr="002420EC">
          <w:rPr>
            <w:rFonts w:ascii="Times New Roman" w:eastAsia="Times New Roman" w:hAnsi="Times New Roman" w:cs="Times New Roman"/>
            <w:sz w:val="24"/>
            <w:szCs w:val="24"/>
            <w:u w:val="single"/>
          </w:rPr>
          <w:t>http://www.copyright.gov/history/bios/barabara-ringer-special-edition-2009-04.pdf.</w:t>
        </w:r>
      </w:hyperlink>
      <w:r w:rsidRPr="003428FF">
        <w:rPr>
          <w:rFonts w:ascii="Times New Roman" w:eastAsia="Times New Roman" w:hAnsi="Times New Roman" w:cs="Times New Roman"/>
          <w:color w:val="000000"/>
          <w:sz w:val="24"/>
          <w:szCs w:val="24"/>
        </w:rPr>
        <w:t xml:space="preserve"> The circuit courts’ decisions should be more persuasive to this court than any comment by Barbara Ringer. </w:t>
      </w:r>
      <w:r w:rsidRPr="003428FF">
        <w:rPr>
          <w:rFonts w:ascii="Times New Roman" w:eastAsia="Times New Roman" w:hAnsi="Times New Roman" w:cs="Times New Roman"/>
          <w:i/>
          <w:iCs/>
          <w:color w:val="000000"/>
          <w:sz w:val="24"/>
          <w:szCs w:val="24"/>
        </w:rPr>
        <w:t>See NLRB</w:t>
      </w:r>
      <w:r w:rsidRPr="003428FF">
        <w:rPr>
          <w:rFonts w:ascii="Times New Roman" w:eastAsia="Times New Roman" w:hAnsi="Times New Roman" w:cs="Times New Roman"/>
          <w:color w:val="000000"/>
          <w:sz w:val="24"/>
          <w:szCs w:val="24"/>
        </w:rPr>
        <w:t>, 511 U.S. 571, 582 (noting that an “it is the function of the courts and not the Legislature, much less a Committee of one House of the Legislature, to say what an enacted statute means”).  </w:t>
      </w:r>
    </w:p>
    <w:p w14:paraId="79D794CB" w14:textId="77777777" w:rsidR="003428FF" w:rsidRPr="003428FF" w:rsidRDefault="003428FF" w:rsidP="003428FF">
      <w:pPr>
        <w:spacing w:after="0" w:line="480" w:lineRule="auto"/>
        <w:ind w:firstLine="720"/>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4"/>
          <w:szCs w:val="24"/>
        </w:rPr>
        <w:t xml:space="preserve">Accordingly, the Second Circuit chose not to defer to Ringer. Though Defendant argues that Ringer’s comment is persuasive as a piece of legislative history, this court should follow the Second Circuit and assign very little weight, if any, to Ringer’s comment. The Supreme Court has held that committee reports cannot trump textual plain meaning. </w:t>
      </w:r>
      <w:r w:rsidRPr="003428FF">
        <w:rPr>
          <w:rFonts w:ascii="Times New Roman" w:eastAsia="Times New Roman" w:hAnsi="Times New Roman" w:cs="Times New Roman"/>
          <w:i/>
          <w:iCs/>
          <w:color w:val="000000"/>
          <w:sz w:val="24"/>
          <w:szCs w:val="24"/>
        </w:rPr>
        <w:t>Arlington Cent. Sch. Dist. Bd. of Educ. v. Murphy</w:t>
      </w:r>
      <w:r w:rsidRPr="003428FF">
        <w:rPr>
          <w:rFonts w:ascii="Times New Roman" w:eastAsia="Times New Roman" w:hAnsi="Times New Roman" w:cs="Times New Roman"/>
          <w:color w:val="000000"/>
          <w:sz w:val="24"/>
          <w:szCs w:val="24"/>
        </w:rPr>
        <w:t xml:space="preserve">, 548 U.S. 291, 304 (2006).  In this case, the text of 17 U.S.C. §101(2) is clear and unambiguous. </w:t>
      </w:r>
    </w:p>
    <w:p w14:paraId="5E741C9E" w14:textId="77777777" w:rsidR="003428FF" w:rsidRPr="003428FF" w:rsidRDefault="003428FF" w:rsidP="003428FF">
      <w:pPr>
        <w:spacing w:after="0" w:line="480" w:lineRule="auto"/>
        <w:ind w:firstLine="720"/>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4"/>
          <w:szCs w:val="24"/>
        </w:rPr>
        <w:t xml:space="preserve">Ringer’s brief comment, on the other hand, is ambiguous and imprecise. </w:t>
      </w:r>
      <w:r w:rsidR="002420EC" w:rsidRPr="003428FF">
        <w:rPr>
          <w:rFonts w:ascii="Times New Roman" w:eastAsia="Times New Roman" w:hAnsi="Times New Roman" w:cs="Times New Roman"/>
          <w:smallCaps/>
          <w:sz w:val="24"/>
          <w:szCs w:val="24"/>
        </w:rPr>
        <w:t>The Register of Copyrights, Second Supplementary Report of the Register of Copyrights on the General Revision of the U.S. Copyright Law: 1964 Revision Bill</w:t>
      </w:r>
      <w:r w:rsidR="002420EC">
        <w:rPr>
          <w:rFonts w:ascii="Times New Roman" w:eastAsia="Times New Roman" w:hAnsi="Times New Roman" w:cs="Times New Roman"/>
          <w:color w:val="FF0000"/>
          <w:sz w:val="24"/>
          <w:szCs w:val="24"/>
        </w:rPr>
        <w:t xml:space="preserve"> </w:t>
      </w:r>
      <w:r w:rsidR="002420EC" w:rsidRPr="002420EC">
        <w:rPr>
          <w:rFonts w:ascii="Times New Roman" w:eastAsia="Times New Roman" w:hAnsi="Times New Roman" w:cs="Times New Roman"/>
          <w:sz w:val="24"/>
          <w:szCs w:val="24"/>
        </w:rPr>
        <w:t>145</w:t>
      </w:r>
      <w:r w:rsidR="002420EC">
        <w:rPr>
          <w:rFonts w:ascii="Times New Roman" w:eastAsia="Times New Roman" w:hAnsi="Times New Roman" w:cs="Times New Roman"/>
          <w:color w:val="FF0000"/>
          <w:sz w:val="24"/>
          <w:szCs w:val="24"/>
        </w:rPr>
        <w:t xml:space="preserve"> </w:t>
      </w:r>
      <w:r w:rsidR="002420EC">
        <w:rPr>
          <w:rFonts w:ascii="Times New Roman" w:eastAsia="Times New Roman" w:hAnsi="Times New Roman" w:cs="Times New Roman"/>
          <w:sz w:val="24"/>
          <w:szCs w:val="24"/>
        </w:rPr>
        <w:t>(1964</w:t>
      </w:r>
      <w:r w:rsidR="002420EC" w:rsidRPr="00292D9F">
        <w:rPr>
          <w:rFonts w:ascii="Times New Roman" w:eastAsia="Times New Roman" w:hAnsi="Times New Roman" w:cs="Times New Roman"/>
          <w:sz w:val="24"/>
          <w:szCs w:val="24"/>
        </w:rPr>
        <w:t>)</w:t>
      </w:r>
      <w:r w:rsidRPr="003428FF">
        <w:rPr>
          <w:rFonts w:ascii="Times New Roman" w:eastAsia="Times New Roman" w:hAnsi="Times New Roman" w:cs="Times New Roman"/>
          <w:color w:val="FF0000"/>
          <w:sz w:val="24"/>
          <w:szCs w:val="24"/>
        </w:rPr>
        <w:t xml:space="preserve">. </w:t>
      </w:r>
      <w:r w:rsidRPr="003428FF">
        <w:rPr>
          <w:rFonts w:ascii="Times New Roman" w:eastAsia="Times New Roman" w:hAnsi="Times New Roman" w:cs="Times New Roman"/>
          <w:color w:val="000000"/>
          <w:sz w:val="24"/>
          <w:szCs w:val="24"/>
        </w:rPr>
        <w:t xml:space="preserve">In the discussion, she alluded to her individual view that contracts signed after the work had been completed would not satisfy the “works made on special order or commission” element of the definition. </w:t>
      </w:r>
      <w:r w:rsidR="002420EC" w:rsidRPr="003428FF">
        <w:rPr>
          <w:rFonts w:ascii="Times New Roman" w:eastAsia="Times New Roman" w:hAnsi="Times New Roman" w:cs="Times New Roman"/>
          <w:smallCaps/>
          <w:sz w:val="24"/>
          <w:szCs w:val="24"/>
        </w:rPr>
        <w:t>The Register of Copyrights, Second Supplementary Report of the Register of Copyrights on the General Revision of the U.S. Copyright Law: 1964 Revision Bill</w:t>
      </w:r>
      <w:r w:rsidR="002420EC">
        <w:rPr>
          <w:rFonts w:ascii="Times New Roman" w:eastAsia="Times New Roman" w:hAnsi="Times New Roman" w:cs="Times New Roman"/>
          <w:smallCaps/>
          <w:sz w:val="24"/>
          <w:szCs w:val="24"/>
        </w:rPr>
        <w:t xml:space="preserve"> 145</w:t>
      </w:r>
      <w:r w:rsidR="002420EC" w:rsidRPr="003428FF">
        <w:rPr>
          <w:rFonts w:ascii="Times New Roman" w:eastAsia="Times New Roman" w:hAnsi="Times New Roman" w:cs="Times New Roman"/>
          <w:color w:val="FF0000"/>
          <w:sz w:val="24"/>
          <w:szCs w:val="24"/>
        </w:rPr>
        <w:t xml:space="preserve"> </w:t>
      </w:r>
      <w:r w:rsidR="002420EC">
        <w:rPr>
          <w:rFonts w:ascii="Times New Roman" w:eastAsia="Times New Roman" w:hAnsi="Times New Roman" w:cs="Times New Roman"/>
          <w:sz w:val="24"/>
          <w:szCs w:val="24"/>
        </w:rPr>
        <w:t>(1964</w:t>
      </w:r>
      <w:r w:rsidR="002420EC" w:rsidRPr="002420EC">
        <w:rPr>
          <w:rFonts w:ascii="Times New Roman" w:eastAsia="Times New Roman" w:hAnsi="Times New Roman" w:cs="Times New Roman"/>
          <w:sz w:val="24"/>
          <w:szCs w:val="24"/>
        </w:rPr>
        <w:t>)</w:t>
      </w:r>
      <w:r w:rsidRPr="003428FF">
        <w:rPr>
          <w:rFonts w:ascii="Times New Roman" w:eastAsia="Times New Roman" w:hAnsi="Times New Roman" w:cs="Times New Roman"/>
          <w:sz w:val="24"/>
          <w:szCs w:val="24"/>
        </w:rPr>
        <w:t xml:space="preserve">; </w:t>
      </w:r>
      <w:r w:rsidRPr="003428FF">
        <w:rPr>
          <w:rFonts w:ascii="Times New Roman" w:eastAsia="Times New Roman" w:hAnsi="Times New Roman" w:cs="Times New Roman"/>
          <w:i/>
          <w:iCs/>
          <w:sz w:val="24"/>
          <w:szCs w:val="24"/>
        </w:rPr>
        <w:t xml:space="preserve">see also </w:t>
      </w:r>
      <w:r w:rsidRPr="003428FF">
        <w:rPr>
          <w:rFonts w:ascii="Times New Roman" w:eastAsia="Times New Roman" w:hAnsi="Times New Roman" w:cs="Times New Roman"/>
          <w:sz w:val="24"/>
          <w:szCs w:val="24"/>
        </w:rPr>
        <w:t xml:space="preserve">17 U.S.C. § 101(2). </w:t>
      </w:r>
      <w:r w:rsidRPr="003428FF">
        <w:rPr>
          <w:rFonts w:ascii="Times New Roman" w:eastAsia="Times New Roman" w:hAnsi="Times New Roman" w:cs="Times New Roman"/>
          <w:color w:val="000000"/>
          <w:sz w:val="24"/>
          <w:szCs w:val="24"/>
        </w:rPr>
        <w:t xml:space="preserve">Ringer’s interpretation, in addition to having no basis in the statute, does not amount to an official interpretation on behalf of the Copyright Office. Made in passing in the Discussion and Comments at the 1964 Revision Bill Committee Meeting, Ringer’s comment was not even included in the Committee’s official report; Ringer did not </w:t>
      </w:r>
      <w:r w:rsidRPr="003428FF">
        <w:rPr>
          <w:rFonts w:ascii="Times New Roman" w:eastAsia="Times New Roman" w:hAnsi="Times New Roman" w:cs="Times New Roman"/>
          <w:color w:val="000000"/>
          <w:sz w:val="24"/>
          <w:szCs w:val="24"/>
        </w:rPr>
        <w:lastRenderedPageBreak/>
        <w:t xml:space="preserve">testify formally, and Ringer did not become the Acting Register of Copyrights until 1973, which was after she made the comment at the 1964 Meeting on the 1964 Revision Bill. </w:t>
      </w:r>
      <w:r w:rsidRPr="003428FF">
        <w:rPr>
          <w:rFonts w:ascii="Times New Roman" w:eastAsia="Times New Roman" w:hAnsi="Times New Roman" w:cs="Times New Roman"/>
          <w:i/>
          <w:iCs/>
          <w:color w:val="000000"/>
          <w:sz w:val="24"/>
          <w:szCs w:val="24"/>
        </w:rPr>
        <w:t>See</w:t>
      </w:r>
      <w:r w:rsidRPr="003428FF">
        <w:rPr>
          <w:rFonts w:ascii="Times New Roman" w:eastAsia="Times New Roman" w:hAnsi="Times New Roman" w:cs="Times New Roman"/>
          <w:color w:val="000000"/>
          <w:sz w:val="24"/>
          <w:szCs w:val="24"/>
        </w:rPr>
        <w:t xml:space="preserve"> </w:t>
      </w:r>
      <w:r w:rsidRPr="003428FF">
        <w:rPr>
          <w:rFonts w:ascii="Times New Roman" w:eastAsia="Times New Roman" w:hAnsi="Times New Roman" w:cs="Times New Roman"/>
          <w:sz w:val="24"/>
          <w:szCs w:val="24"/>
        </w:rPr>
        <w:t xml:space="preserve">Judith Nierman, </w:t>
      </w:r>
      <w:r w:rsidRPr="003428FF">
        <w:rPr>
          <w:rFonts w:ascii="Times New Roman" w:eastAsia="Times New Roman" w:hAnsi="Times New Roman" w:cs="Times New Roman"/>
          <w:i/>
          <w:iCs/>
          <w:sz w:val="24"/>
          <w:szCs w:val="24"/>
        </w:rPr>
        <w:t>Barbara Ringer: 1925-2009</w:t>
      </w:r>
      <w:r w:rsidRPr="003428FF">
        <w:rPr>
          <w:rFonts w:ascii="Times New Roman" w:eastAsia="Times New Roman" w:hAnsi="Times New Roman" w:cs="Times New Roman"/>
          <w:sz w:val="24"/>
          <w:szCs w:val="24"/>
        </w:rPr>
        <w:t xml:space="preserve">, COPYRIGHT NOTICES 1, 2 (April 2009), </w:t>
      </w:r>
      <w:hyperlink r:id="rId10" w:history="1">
        <w:r w:rsidRPr="002420EC">
          <w:rPr>
            <w:rFonts w:ascii="Times New Roman" w:eastAsia="Times New Roman" w:hAnsi="Times New Roman" w:cs="Times New Roman"/>
            <w:sz w:val="24"/>
            <w:szCs w:val="24"/>
            <w:u w:val="single"/>
          </w:rPr>
          <w:t>http://www.copyright.gov/history/bios/barabara-ringer-special-edition-2009-04.pdf.</w:t>
        </w:r>
      </w:hyperlink>
      <w:r w:rsidRPr="003428FF">
        <w:rPr>
          <w:rFonts w:ascii="Times New Roman" w:eastAsia="Times New Roman" w:hAnsi="Times New Roman" w:cs="Times New Roman"/>
          <w:color w:val="000000"/>
          <w:sz w:val="24"/>
          <w:szCs w:val="24"/>
        </w:rPr>
        <w:t xml:space="preserve"> Because the textual plain meaning of the provision does not specify a time for the writing, the legislative history does not refute the plain meaning, and since the writing was created and signed by both parties, Plaintiff should enjoy full ownership rights to the screenplay. </w:t>
      </w:r>
    </w:p>
    <w:p w14:paraId="277AB064" w14:textId="77777777" w:rsidR="003428FF" w:rsidRPr="003428FF" w:rsidRDefault="003428FF" w:rsidP="003428FF">
      <w:pPr>
        <w:pStyle w:val="ListParagraph"/>
        <w:numPr>
          <w:ilvl w:val="0"/>
          <w:numId w:val="1"/>
        </w:numPr>
        <w:spacing w:after="240" w:line="240" w:lineRule="auto"/>
        <w:ind w:left="900"/>
        <w:rPr>
          <w:rFonts w:ascii="Times New Roman" w:eastAsia="Times New Roman" w:hAnsi="Times New Roman" w:cs="Times New Roman"/>
          <w:sz w:val="24"/>
          <w:szCs w:val="24"/>
        </w:rPr>
      </w:pPr>
      <w:r w:rsidRPr="003428FF">
        <w:rPr>
          <w:rFonts w:ascii="Times New Roman" w:eastAsia="Times New Roman" w:hAnsi="Times New Roman" w:cs="Times New Roman"/>
          <w:b/>
          <w:bCs/>
          <w:color w:val="000000"/>
          <w:sz w:val="24"/>
          <w:szCs w:val="24"/>
        </w:rPr>
        <w:t>DEFENDANTS’ MOTION TO DISMISS SHOULD BE DENIED BECAUSE A PLURALITY OF CIRCUITS HAVE HELD THAT A POST-CREATION SIGNATURE CREATES A VALID “WORK MADE FOR HIRE” AGREEMENT</w:t>
      </w:r>
    </w:p>
    <w:p w14:paraId="28CDC1C0" w14:textId="77777777" w:rsidR="003428FF" w:rsidRPr="003428FF" w:rsidRDefault="003428FF" w:rsidP="002420EC">
      <w:pPr>
        <w:spacing w:after="0" w:line="480" w:lineRule="auto"/>
        <w:ind w:firstLine="720"/>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4"/>
          <w:szCs w:val="24"/>
        </w:rPr>
        <w:t xml:space="preserve">The Second Circuit has directly held that a written agreement may post-date the creation of the work if the agreement memorializes an earlier oral agreement or understanding. </w:t>
      </w:r>
      <w:r w:rsidRPr="003428FF">
        <w:rPr>
          <w:rFonts w:ascii="Times New Roman" w:eastAsia="Times New Roman" w:hAnsi="Times New Roman" w:cs="Times New Roman"/>
          <w:i/>
          <w:iCs/>
          <w:color w:val="000000"/>
          <w:sz w:val="24"/>
          <w:szCs w:val="24"/>
        </w:rPr>
        <w:t xml:space="preserve">Playboy </w:t>
      </w:r>
      <w:r w:rsidRPr="003428FF">
        <w:rPr>
          <w:rFonts w:ascii="Times New Roman" w:eastAsia="Times New Roman" w:hAnsi="Times New Roman" w:cs="Times New Roman"/>
          <w:color w:val="000000"/>
          <w:sz w:val="24"/>
          <w:szCs w:val="24"/>
        </w:rPr>
        <w:t xml:space="preserve">53 F.3d 549 at 559. This holding is further supported by the holding in </w:t>
      </w:r>
      <w:r w:rsidRPr="003428FF">
        <w:rPr>
          <w:rFonts w:ascii="Times New Roman" w:eastAsia="Times New Roman" w:hAnsi="Times New Roman" w:cs="Times New Roman"/>
          <w:i/>
          <w:iCs/>
          <w:color w:val="000000"/>
          <w:sz w:val="24"/>
          <w:szCs w:val="24"/>
        </w:rPr>
        <w:t>Eden</w:t>
      </w:r>
      <w:r w:rsidRPr="003428FF">
        <w:rPr>
          <w:rFonts w:ascii="Times New Roman" w:eastAsia="Times New Roman" w:hAnsi="Times New Roman" w:cs="Times New Roman"/>
          <w:color w:val="000000"/>
          <w:sz w:val="24"/>
          <w:szCs w:val="24"/>
        </w:rPr>
        <w:t xml:space="preserve">, 697 F.2d 27. In </w:t>
      </w:r>
      <w:r w:rsidRPr="003428FF">
        <w:rPr>
          <w:rFonts w:ascii="Times New Roman" w:eastAsia="Times New Roman" w:hAnsi="Times New Roman" w:cs="Times New Roman"/>
          <w:i/>
          <w:iCs/>
          <w:color w:val="000000"/>
          <w:sz w:val="24"/>
          <w:szCs w:val="24"/>
        </w:rPr>
        <w:t xml:space="preserve">Eden, </w:t>
      </w:r>
      <w:r w:rsidRPr="003428FF">
        <w:rPr>
          <w:rFonts w:ascii="Times New Roman" w:eastAsia="Times New Roman" w:hAnsi="Times New Roman" w:cs="Times New Roman"/>
          <w:color w:val="000000"/>
          <w:sz w:val="24"/>
          <w:szCs w:val="24"/>
        </w:rPr>
        <w:t xml:space="preserve">the court held that “the requirement [for a transfer] is satisfied by the copyright owner’s later execution of a writing which confirms the agreement.” </w:t>
      </w:r>
      <w:r w:rsidRPr="003428FF">
        <w:rPr>
          <w:rFonts w:ascii="Times New Roman" w:eastAsia="Times New Roman" w:hAnsi="Times New Roman" w:cs="Times New Roman"/>
          <w:i/>
          <w:iCs/>
          <w:color w:val="000000"/>
          <w:sz w:val="24"/>
          <w:szCs w:val="24"/>
        </w:rPr>
        <w:t xml:space="preserve">Id. </w:t>
      </w:r>
      <w:r w:rsidRPr="003428FF">
        <w:rPr>
          <w:rFonts w:ascii="Times New Roman" w:eastAsia="Times New Roman" w:hAnsi="Times New Roman" w:cs="Times New Roman"/>
          <w:color w:val="000000"/>
          <w:sz w:val="24"/>
          <w:szCs w:val="24"/>
        </w:rPr>
        <w:t xml:space="preserve">at 36. The Second Circuit adopted this reasoning in </w:t>
      </w:r>
      <w:r w:rsidRPr="003428FF">
        <w:rPr>
          <w:rFonts w:ascii="Times New Roman" w:eastAsia="Times New Roman" w:hAnsi="Times New Roman" w:cs="Times New Roman"/>
          <w:i/>
          <w:iCs/>
          <w:color w:val="000000"/>
          <w:sz w:val="24"/>
          <w:szCs w:val="24"/>
        </w:rPr>
        <w:t>Playboy</w:t>
      </w:r>
      <w:r w:rsidRPr="003428FF">
        <w:rPr>
          <w:rFonts w:ascii="Times New Roman" w:eastAsia="Times New Roman" w:hAnsi="Times New Roman" w:cs="Times New Roman"/>
          <w:color w:val="000000"/>
          <w:sz w:val="24"/>
          <w:szCs w:val="24"/>
        </w:rPr>
        <w:t xml:space="preserve"> and applied to to a work-made-for-hire situation. </w:t>
      </w:r>
      <w:r w:rsidRPr="003428FF">
        <w:rPr>
          <w:rFonts w:ascii="Times New Roman" w:eastAsia="Times New Roman" w:hAnsi="Times New Roman" w:cs="Times New Roman"/>
          <w:i/>
          <w:iCs/>
          <w:color w:val="000000"/>
          <w:sz w:val="24"/>
          <w:szCs w:val="24"/>
        </w:rPr>
        <w:t>Playboy</w:t>
      </w:r>
      <w:r w:rsidRPr="003428FF">
        <w:rPr>
          <w:rFonts w:ascii="Times New Roman" w:eastAsia="Times New Roman" w:hAnsi="Times New Roman" w:cs="Times New Roman"/>
          <w:color w:val="000000"/>
          <w:sz w:val="24"/>
          <w:szCs w:val="24"/>
        </w:rPr>
        <w:t xml:space="preserve">, 53 F.3d 549. In </w:t>
      </w:r>
      <w:r w:rsidRPr="003428FF">
        <w:rPr>
          <w:rFonts w:ascii="Times New Roman" w:eastAsia="Times New Roman" w:hAnsi="Times New Roman" w:cs="Times New Roman"/>
          <w:i/>
          <w:iCs/>
          <w:color w:val="000000"/>
          <w:sz w:val="24"/>
          <w:szCs w:val="24"/>
        </w:rPr>
        <w:t xml:space="preserve">Playboy, </w:t>
      </w:r>
      <w:r w:rsidRPr="003428FF">
        <w:rPr>
          <w:rFonts w:ascii="Times New Roman" w:eastAsia="Times New Roman" w:hAnsi="Times New Roman" w:cs="Times New Roman"/>
          <w:color w:val="000000"/>
          <w:sz w:val="24"/>
          <w:szCs w:val="24"/>
        </w:rPr>
        <w:t xml:space="preserve">a freelance artist produced approximately 285 pieces of artwork that were published in </w:t>
      </w:r>
      <w:r w:rsidRPr="003428FF">
        <w:rPr>
          <w:rFonts w:ascii="Times New Roman" w:eastAsia="Times New Roman" w:hAnsi="Times New Roman" w:cs="Times New Roman"/>
          <w:i/>
          <w:iCs/>
          <w:color w:val="000000"/>
          <w:sz w:val="24"/>
          <w:szCs w:val="24"/>
        </w:rPr>
        <w:t xml:space="preserve">Playboy </w:t>
      </w:r>
      <w:r w:rsidRPr="003428FF">
        <w:rPr>
          <w:rFonts w:ascii="Times New Roman" w:eastAsia="Times New Roman" w:hAnsi="Times New Roman" w:cs="Times New Roman"/>
          <w:color w:val="000000"/>
          <w:sz w:val="24"/>
          <w:szCs w:val="24"/>
        </w:rPr>
        <w:t xml:space="preserve">magazine; Playboy paid Nagel for each of the published paintings by check. </w:t>
      </w:r>
      <w:r w:rsidRPr="003428FF">
        <w:rPr>
          <w:rFonts w:ascii="Times New Roman" w:eastAsia="Times New Roman" w:hAnsi="Times New Roman" w:cs="Times New Roman"/>
          <w:i/>
          <w:iCs/>
          <w:color w:val="000000"/>
          <w:sz w:val="24"/>
          <w:szCs w:val="24"/>
        </w:rPr>
        <w:t xml:space="preserve">Playboy </w:t>
      </w:r>
      <w:r w:rsidRPr="003428FF">
        <w:rPr>
          <w:rFonts w:ascii="Times New Roman" w:eastAsia="Times New Roman" w:hAnsi="Times New Roman" w:cs="Times New Roman"/>
          <w:color w:val="000000"/>
          <w:sz w:val="24"/>
          <w:szCs w:val="24"/>
        </w:rPr>
        <w:t xml:space="preserve">53 F.3d 549, 552. Nagel subsequently endorsed these checks to deposit them, and the signed checks were the only writings ever signed by Nagel relating to Playboy’s ownership of the copyrights. </w:t>
      </w:r>
      <w:r w:rsidRPr="003428FF">
        <w:rPr>
          <w:rFonts w:ascii="Times New Roman" w:eastAsia="Times New Roman" w:hAnsi="Times New Roman" w:cs="Times New Roman"/>
          <w:i/>
          <w:iCs/>
          <w:color w:val="000000"/>
          <w:sz w:val="24"/>
          <w:szCs w:val="24"/>
        </w:rPr>
        <w:t>Id</w:t>
      </w:r>
      <w:r w:rsidRPr="003428FF">
        <w:rPr>
          <w:rFonts w:ascii="Times New Roman" w:eastAsia="Times New Roman" w:hAnsi="Times New Roman" w:cs="Times New Roman"/>
          <w:color w:val="000000"/>
          <w:sz w:val="24"/>
          <w:szCs w:val="24"/>
        </w:rPr>
        <w:t xml:space="preserve">. at 553. When the question of ownership of these paintings arose after Nagel’s death, the court ruled that these check endorsements were sufficient to constitute work made for hire agreements; and, importantly, the court held that the writing requirement in 17 U.S.C. § 101(2) could be met by a writing executed after a work is created. </w:t>
      </w:r>
      <w:r w:rsidRPr="003428FF">
        <w:rPr>
          <w:rFonts w:ascii="Times New Roman" w:eastAsia="Times New Roman" w:hAnsi="Times New Roman" w:cs="Times New Roman"/>
          <w:i/>
          <w:iCs/>
          <w:color w:val="000000"/>
          <w:sz w:val="24"/>
          <w:szCs w:val="24"/>
        </w:rPr>
        <w:t>Id</w:t>
      </w:r>
      <w:r w:rsidRPr="003428FF">
        <w:rPr>
          <w:rFonts w:ascii="Times New Roman" w:eastAsia="Times New Roman" w:hAnsi="Times New Roman" w:cs="Times New Roman"/>
          <w:color w:val="000000"/>
          <w:sz w:val="24"/>
          <w:szCs w:val="24"/>
        </w:rPr>
        <w:t xml:space="preserve">. at 559. </w:t>
      </w:r>
    </w:p>
    <w:p w14:paraId="788E98EC" w14:textId="77777777" w:rsidR="003428FF" w:rsidRPr="003428FF" w:rsidRDefault="003428FF" w:rsidP="003428FF">
      <w:pPr>
        <w:spacing w:after="0" w:line="480" w:lineRule="auto"/>
        <w:ind w:firstLine="720"/>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4"/>
          <w:szCs w:val="24"/>
        </w:rPr>
        <w:lastRenderedPageBreak/>
        <w:t xml:space="preserve">In </w:t>
      </w:r>
      <w:r w:rsidRPr="003428FF">
        <w:rPr>
          <w:rFonts w:ascii="Times New Roman" w:eastAsia="Times New Roman" w:hAnsi="Times New Roman" w:cs="Times New Roman"/>
          <w:i/>
          <w:iCs/>
          <w:color w:val="000000"/>
          <w:sz w:val="24"/>
          <w:szCs w:val="24"/>
        </w:rPr>
        <w:t xml:space="preserve">Playboy, </w:t>
      </w:r>
      <w:r w:rsidRPr="003428FF">
        <w:rPr>
          <w:rFonts w:ascii="Times New Roman" w:eastAsia="Times New Roman" w:hAnsi="Times New Roman" w:cs="Times New Roman"/>
          <w:color w:val="000000"/>
          <w:sz w:val="24"/>
          <w:szCs w:val="24"/>
        </w:rPr>
        <w:t xml:space="preserve">like in the instant case, the artist signed each writing instrument </w:t>
      </w:r>
      <w:r w:rsidR="007F3E67">
        <w:rPr>
          <w:rFonts w:ascii="Times New Roman" w:eastAsia="Times New Roman" w:hAnsi="Times New Roman" w:cs="Times New Roman"/>
          <w:color w:val="000000"/>
          <w:sz w:val="24"/>
          <w:szCs w:val="24"/>
        </w:rPr>
        <w:t>after submitting the work</w:t>
      </w:r>
      <w:r w:rsidRPr="003428FF">
        <w:rPr>
          <w:rFonts w:ascii="Times New Roman" w:eastAsia="Times New Roman" w:hAnsi="Times New Roman" w:cs="Times New Roman"/>
          <w:color w:val="000000"/>
          <w:sz w:val="24"/>
          <w:szCs w:val="24"/>
        </w:rPr>
        <w:t xml:space="preserve"> to Playboy. The court reasoned that such a long working relationship between Nagel and Playboy implied a mutual understanding that Nagel would be creating works especially at the instance of Playboy and that he would be compensated for his work--in other words, Nagel understood that his paintings would be “works made for hire.” While the working relationship between Plaintiff and Defendant was indeed short, lasting for approximately one week (</w:t>
      </w:r>
      <w:r w:rsidRPr="003428FF">
        <w:rPr>
          <w:rFonts w:ascii="Times New Roman" w:eastAsia="Times New Roman" w:hAnsi="Times New Roman" w:cs="Times New Roman"/>
          <w:i/>
          <w:iCs/>
          <w:color w:val="000000"/>
          <w:sz w:val="24"/>
          <w:szCs w:val="24"/>
        </w:rPr>
        <w:t xml:space="preserve">See </w:t>
      </w:r>
      <w:r w:rsidRPr="003428FF">
        <w:rPr>
          <w:rFonts w:ascii="Times New Roman" w:eastAsia="Times New Roman" w:hAnsi="Times New Roman" w:cs="Times New Roman"/>
          <w:color w:val="000000"/>
          <w:sz w:val="24"/>
          <w:szCs w:val="24"/>
        </w:rPr>
        <w:t xml:space="preserve">Compl. ¶¶ 18, 21), Defendant had numerous previous working relationships with other networks (Compl. ¶¶ 11,20). </w:t>
      </w:r>
    </w:p>
    <w:p w14:paraId="118D7C17" w14:textId="77777777" w:rsidR="003428FF" w:rsidRPr="003428FF" w:rsidRDefault="003428FF" w:rsidP="003428FF">
      <w:pPr>
        <w:spacing w:after="0" w:line="480" w:lineRule="auto"/>
        <w:ind w:firstLine="720"/>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4"/>
          <w:szCs w:val="24"/>
        </w:rPr>
        <w:t xml:space="preserve">The Seventh Circuit has noted that a written agreement should precede the creation of the work because it protects people against false claims of oral agreements. </w:t>
      </w:r>
      <w:r w:rsidRPr="003428FF">
        <w:rPr>
          <w:rFonts w:ascii="Times New Roman" w:eastAsia="Times New Roman" w:hAnsi="Times New Roman" w:cs="Times New Roman"/>
          <w:i/>
          <w:iCs/>
          <w:color w:val="000000"/>
          <w:sz w:val="24"/>
          <w:szCs w:val="24"/>
        </w:rPr>
        <w:t>Schiller &amp; Schmidt, Inc.</w:t>
      </w:r>
      <w:r w:rsidRPr="003428FF">
        <w:rPr>
          <w:rFonts w:ascii="Times New Roman" w:eastAsia="Times New Roman" w:hAnsi="Times New Roman" w:cs="Times New Roman"/>
          <w:color w:val="000000"/>
          <w:sz w:val="24"/>
          <w:szCs w:val="24"/>
        </w:rPr>
        <w:t xml:space="preserve">, 969 F.2d 410 at 412. The case in the Seventh Circuit, however, is distinguishable from the present case. In </w:t>
      </w:r>
      <w:r w:rsidRPr="003428FF">
        <w:rPr>
          <w:rFonts w:ascii="Times New Roman" w:eastAsia="Times New Roman" w:hAnsi="Times New Roman" w:cs="Times New Roman"/>
          <w:i/>
          <w:iCs/>
          <w:color w:val="000000"/>
          <w:sz w:val="24"/>
          <w:szCs w:val="24"/>
        </w:rPr>
        <w:t>Schiller</w:t>
      </w:r>
      <w:r w:rsidRPr="003428FF">
        <w:rPr>
          <w:rFonts w:ascii="Times New Roman" w:eastAsia="Times New Roman" w:hAnsi="Times New Roman" w:cs="Times New Roman"/>
          <w:color w:val="000000"/>
          <w:sz w:val="24"/>
          <w:szCs w:val="24"/>
        </w:rPr>
        <w:t xml:space="preserve">, the agreement was not signed until nine years after the photos were taken, and at a point when the lawsuit was well underway. </w:t>
      </w:r>
      <w:r w:rsidRPr="003428FF">
        <w:rPr>
          <w:rFonts w:ascii="Times New Roman" w:eastAsia="Times New Roman" w:hAnsi="Times New Roman" w:cs="Times New Roman"/>
          <w:i/>
          <w:iCs/>
          <w:color w:val="000000"/>
          <w:sz w:val="24"/>
          <w:szCs w:val="24"/>
        </w:rPr>
        <w:t>Schiller</w:t>
      </w:r>
      <w:r w:rsidRPr="003428FF">
        <w:rPr>
          <w:rFonts w:ascii="Times New Roman" w:eastAsia="Times New Roman" w:hAnsi="Times New Roman" w:cs="Times New Roman"/>
          <w:color w:val="000000"/>
          <w:sz w:val="24"/>
          <w:szCs w:val="24"/>
        </w:rPr>
        <w:t xml:space="preserve">, 969 F.2d 410 at 412. The court found that nine-year-late writing invalid, but the court only explicitly stated that it was invalid because the photographer was the only party who signed the document. </w:t>
      </w:r>
      <w:r w:rsidRPr="003428FF">
        <w:rPr>
          <w:rFonts w:ascii="Times New Roman" w:eastAsia="Times New Roman" w:hAnsi="Times New Roman" w:cs="Times New Roman"/>
          <w:i/>
          <w:iCs/>
          <w:color w:val="000000"/>
          <w:sz w:val="24"/>
          <w:szCs w:val="24"/>
        </w:rPr>
        <w:t>Schiller</w:t>
      </w:r>
      <w:r w:rsidRPr="003428FF">
        <w:rPr>
          <w:rFonts w:ascii="Times New Roman" w:eastAsia="Times New Roman" w:hAnsi="Times New Roman" w:cs="Times New Roman"/>
          <w:color w:val="000000"/>
          <w:sz w:val="24"/>
          <w:szCs w:val="24"/>
        </w:rPr>
        <w:t xml:space="preserve">, 969 F.2d 410 at 412. The court held that § 101(2) unambiguously states that both parties must sign the agreement. </w:t>
      </w:r>
      <w:r w:rsidRPr="003428FF">
        <w:rPr>
          <w:rFonts w:ascii="Times New Roman" w:eastAsia="Times New Roman" w:hAnsi="Times New Roman" w:cs="Times New Roman"/>
          <w:i/>
          <w:iCs/>
          <w:color w:val="000000"/>
          <w:sz w:val="24"/>
          <w:szCs w:val="24"/>
        </w:rPr>
        <w:t>Schiller</w:t>
      </w:r>
      <w:r w:rsidRPr="003428FF">
        <w:rPr>
          <w:rFonts w:ascii="Times New Roman" w:eastAsia="Times New Roman" w:hAnsi="Times New Roman" w:cs="Times New Roman"/>
          <w:color w:val="000000"/>
          <w:sz w:val="24"/>
          <w:szCs w:val="24"/>
        </w:rPr>
        <w:t xml:space="preserve">, 969 F.2d 410 at 410, 413. </w:t>
      </w:r>
    </w:p>
    <w:p w14:paraId="7BDE36A0" w14:textId="77777777" w:rsidR="003428FF" w:rsidRPr="003428FF" w:rsidRDefault="003428FF" w:rsidP="002420EC">
      <w:pPr>
        <w:spacing w:after="0" w:line="480" w:lineRule="auto"/>
        <w:ind w:firstLine="720"/>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4"/>
          <w:szCs w:val="24"/>
        </w:rPr>
        <w:t xml:space="preserve">In the present case, not only have both Defendant and Plaintiff signed the agreement at issue, but a signature post-dating the production of the work by nine years is hardly comparable to a signature obtained immediately upon receiving payment for the work. Furthermore, the court in </w:t>
      </w:r>
      <w:r w:rsidRPr="003428FF">
        <w:rPr>
          <w:rFonts w:ascii="Times New Roman" w:eastAsia="Times New Roman" w:hAnsi="Times New Roman" w:cs="Times New Roman"/>
          <w:i/>
          <w:iCs/>
          <w:color w:val="000000"/>
          <w:sz w:val="24"/>
          <w:szCs w:val="24"/>
        </w:rPr>
        <w:t>Schiller</w:t>
      </w:r>
      <w:r w:rsidRPr="003428FF">
        <w:rPr>
          <w:rFonts w:ascii="Times New Roman" w:eastAsia="Times New Roman" w:hAnsi="Times New Roman" w:cs="Times New Roman"/>
          <w:color w:val="000000"/>
          <w:sz w:val="24"/>
          <w:szCs w:val="24"/>
        </w:rPr>
        <w:t xml:space="preserve"> emphasized that it was important for the writing to exist before the suit was filed. </w:t>
      </w:r>
      <w:r w:rsidRPr="003428FF">
        <w:rPr>
          <w:rFonts w:ascii="Times New Roman" w:eastAsia="Times New Roman" w:hAnsi="Times New Roman" w:cs="Times New Roman"/>
          <w:i/>
          <w:iCs/>
          <w:color w:val="000000"/>
          <w:sz w:val="24"/>
          <w:szCs w:val="24"/>
        </w:rPr>
        <w:t>Schiller</w:t>
      </w:r>
      <w:r w:rsidRPr="003428FF">
        <w:rPr>
          <w:rFonts w:ascii="Times New Roman" w:eastAsia="Times New Roman" w:hAnsi="Times New Roman" w:cs="Times New Roman"/>
          <w:color w:val="000000"/>
          <w:sz w:val="24"/>
          <w:szCs w:val="24"/>
        </w:rPr>
        <w:t xml:space="preserve">, 969 F.2d 410 at 412. The agreement between Plaintiff and Defendant existed well before this action was filed; indeed, it existed before the action was ever contemplated by either </w:t>
      </w:r>
      <w:r w:rsidRPr="003428FF">
        <w:rPr>
          <w:rFonts w:ascii="Times New Roman" w:eastAsia="Times New Roman" w:hAnsi="Times New Roman" w:cs="Times New Roman"/>
          <w:color w:val="000000"/>
          <w:sz w:val="24"/>
          <w:szCs w:val="24"/>
        </w:rPr>
        <w:lastRenderedPageBreak/>
        <w:t xml:space="preserve">party. </w:t>
      </w:r>
      <w:r w:rsidRPr="003428FF">
        <w:rPr>
          <w:rFonts w:ascii="Times New Roman" w:eastAsia="Times New Roman" w:hAnsi="Times New Roman" w:cs="Times New Roman"/>
          <w:i/>
          <w:iCs/>
          <w:color w:val="000000"/>
          <w:sz w:val="24"/>
          <w:szCs w:val="24"/>
        </w:rPr>
        <w:t xml:space="preserve">Schiller </w:t>
      </w:r>
      <w:r w:rsidRPr="003428FF">
        <w:rPr>
          <w:rFonts w:ascii="Times New Roman" w:eastAsia="Times New Roman" w:hAnsi="Times New Roman" w:cs="Times New Roman"/>
          <w:color w:val="000000"/>
          <w:sz w:val="24"/>
          <w:szCs w:val="24"/>
        </w:rPr>
        <w:t xml:space="preserve">is not probative of an outcome for Plaintiff. Since Defendant had been working in the industry for so long (Compl. ¶ 11), and since Defendant orally agreed to prepare a work made for hire before she began to write (Compl. ¶¶ 16, 17), this court can make an inference that Defendant intended to prepare a work for hire. </w:t>
      </w:r>
    </w:p>
    <w:p w14:paraId="16E281C7" w14:textId="77777777" w:rsidR="003428FF" w:rsidRPr="003428FF" w:rsidRDefault="003428FF" w:rsidP="003428FF">
      <w:pPr>
        <w:spacing w:after="0" w:line="480" w:lineRule="auto"/>
        <w:ind w:firstLine="720"/>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4"/>
          <w:szCs w:val="24"/>
        </w:rPr>
        <w:t xml:space="preserve">The First Circuit upheld a decision from the District Court of Puerto Rico that extended the holding from </w:t>
      </w:r>
      <w:r w:rsidRPr="003428FF">
        <w:rPr>
          <w:rFonts w:ascii="Times New Roman" w:eastAsia="Times New Roman" w:hAnsi="Times New Roman" w:cs="Times New Roman"/>
          <w:i/>
          <w:iCs/>
          <w:color w:val="000000"/>
          <w:sz w:val="24"/>
          <w:szCs w:val="24"/>
        </w:rPr>
        <w:t>Playboy</w:t>
      </w:r>
      <w:r w:rsidRPr="003428FF">
        <w:rPr>
          <w:rFonts w:ascii="Times New Roman" w:eastAsia="Times New Roman" w:hAnsi="Times New Roman" w:cs="Times New Roman"/>
          <w:color w:val="000000"/>
          <w:sz w:val="24"/>
          <w:szCs w:val="24"/>
        </w:rPr>
        <w:t xml:space="preserve">, 53 F.3d 549 and applied it to </w:t>
      </w:r>
      <w:r w:rsidRPr="003428FF">
        <w:rPr>
          <w:rFonts w:ascii="Times New Roman" w:eastAsia="Times New Roman" w:hAnsi="Times New Roman" w:cs="Times New Roman"/>
          <w:i/>
          <w:iCs/>
          <w:color w:val="000000"/>
          <w:sz w:val="24"/>
          <w:szCs w:val="24"/>
        </w:rPr>
        <w:t>TMTV</w:t>
      </w:r>
      <w:r w:rsidRPr="003428FF">
        <w:rPr>
          <w:rFonts w:ascii="Times New Roman" w:eastAsia="Times New Roman" w:hAnsi="Times New Roman" w:cs="Times New Roman"/>
          <w:color w:val="000000"/>
          <w:sz w:val="24"/>
          <w:szCs w:val="24"/>
        </w:rPr>
        <w:t xml:space="preserve">, 645 F.3d 464. In </w:t>
      </w:r>
      <w:r w:rsidRPr="003428FF">
        <w:rPr>
          <w:rFonts w:ascii="Times New Roman" w:eastAsia="Times New Roman" w:hAnsi="Times New Roman" w:cs="Times New Roman"/>
          <w:i/>
          <w:iCs/>
          <w:color w:val="000000"/>
          <w:sz w:val="24"/>
          <w:szCs w:val="24"/>
        </w:rPr>
        <w:t>TMTV</w:t>
      </w:r>
      <w:r w:rsidRPr="003428FF">
        <w:rPr>
          <w:rFonts w:ascii="Times New Roman" w:eastAsia="Times New Roman" w:hAnsi="Times New Roman" w:cs="Times New Roman"/>
          <w:color w:val="000000"/>
          <w:sz w:val="24"/>
          <w:szCs w:val="24"/>
        </w:rPr>
        <w:t xml:space="preserve">, the producer of a television program sued a competing production company for violating its copyright to the ideas, setting, characters, and plot lines in a popular sitcom. </w:t>
      </w:r>
      <w:r w:rsidRPr="003428FF">
        <w:rPr>
          <w:rFonts w:ascii="Times New Roman" w:eastAsia="Times New Roman" w:hAnsi="Times New Roman" w:cs="Times New Roman"/>
          <w:i/>
          <w:iCs/>
          <w:color w:val="000000"/>
          <w:sz w:val="24"/>
          <w:szCs w:val="24"/>
        </w:rPr>
        <w:t>TMTV</w:t>
      </w:r>
      <w:r w:rsidRPr="003428FF">
        <w:rPr>
          <w:rFonts w:ascii="Times New Roman" w:eastAsia="Times New Roman" w:hAnsi="Times New Roman" w:cs="Times New Roman"/>
          <w:color w:val="000000"/>
          <w:sz w:val="24"/>
          <w:szCs w:val="24"/>
        </w:rPr>
        <w:t xml:space="preserve">, 645 F.3d 464. After an initial brainstorming session, two screenwriters wrote the first three scripts of a new sitcom on their own. </w:t>
      </w:r>
      <w:r w:rsidRPr="003428FF">
        <w:rPr>
          <w:rFonts w:ascii="Times New Roman" w:eastAsia="Times New Roman" w:hAnsi="Times New Roman" w:cs="Times New Roman"/>
          <w:i/>
          <w:iCs/>
          <w:color w:val="000000"/>
          <w:sz w:val="24"/>
          <w:szCs w:val="24"/>
        </w:rPr>
        <w:t>Id</w:t>
      </w:r>
      <w:r w:rsidRPr="003428FF">
        <w:rPr>
          <w:rFonts w:ascii="Times New Roman" w:eastAsia="Times New Roman" w:hAnsi="Times New Roman" w:cs="Times New Roman"/>
          <w:color w:val="000000"/>
          <w:sz w:val="24"/>
          <w:szCs w:val="24"/>
        </w:rPr>
        <w:t xml:space="preserve">. at 200. The two screenwriters were paid for their script-writing work and signed an agreement in which they ratified a pre-existing agreement acknowledging that the scripts were created as a work for hire. </w:t>
      </w:r>
      <w:r w:rsidRPr="003428FF">
        <w:rPr>
          <w:rFonts w:ascii="Times New Roman" w:eastAsia="Times New Roman" w:hAnsi="Times New Roman" w:cs="Times New Roman"/>
          <w:i/>
          <w:iCs/>
          <w:color w:val="000000"/>
          <w:sz w:val="24"/>
          <w:szCs w:val="24"/>
        </w:rPr>
        <w:t>Id</w:t>
      </w:r>
      <w:r w:rsidRPr="003428FF">
        <w:rPr>
          <w:rFonts w:ascii="Times New Roman" w:eastAsia="Times New Roman" w:hAnsi="Times New Roman" w:cs="Times New Roman"/>
          <w:color w:val="000000"/>
          <w:sz w:val="24"/>
          <w:szCs w:val="24"/>
        </w:rPr>
        <w:t xml:space="preserve">. The court held that because the written contract ratified a clear and undisputed understanding between the parties, the post-creation writing constituted a valid work made for hire agreement </w:t>
      </w:r>
      <w:r w:rsidRPr="003428FF">
        <w:rPr>
          <w:rFonts w:ascii="Times New Roman" w:eastAsia="Times New Roman" w:hAnsi="Times New Roman" w:cs="Times New Roman"/>
          <w:i/>
          <w:iCs/>
          <w:color w:val="000000"/>
          <w:sz w:val="24"/>
          <w:szCs w:val="24"/>
        </w:rPr>
        <w:t>Id</w:t>
      </w:r>
      <w:r w:rsidRPr="003428FF">
        <w:rPr>
          <w:rFonts w:ascii="Times New Roman" w:eastAsia="Times New Roman" w:hAnsi="Times New Roman" w:cs="Times New Roman"/>
          <w:color w:val="000000"/>
          <w:sz w:val="24"/>
          <w:szCs w:val="24"/>
        </w:rPr>
        <w:t xml:space="preserve">. at 206-207. </w:t>
      </w:r>
    </w:p>
    <w:p w14:paraId="0A996745" w14:textId="77777777" w:rsidR="003428FF" w:rsidRPr="003428FF" w:rsidRDefault="003428FF" w:rsidP="003428FF">
      <w:pPr>
        <w:spacing w:after="0" w:line="480" w:lineRule="auto"/>
        <w:ind w:firstLine="720"/>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4"/>
          <w:szCs w:val="24"/>
        </w:rPr>
        <w:t>Similarly, the facts in Plaintiff’s complaint, when taken as true, show that Defendant manifested to Plaintiff that she understood the arrangement before she began to prepare the work (</w:t>
      </w:r>
      <w:r w:rsidRPr="003428FF">
        <w:rPr>
          <w:rFonts w:ascii="Times New Roman" w:eastAsia="Times New Roman" w:hAnsi="Times New Roman" w:cs="Times New Roman"/>
          <w:i/>
          <w:iCs/>
          <w:color w:val="000000"/>
          <w:sz w:val="24"/>
          <w:szCs w:val="24"/>
        </w:rPr>
        <w:t xml:space="preserve">See </w:t>
      </w:r>
      <w:r w:rsidRPr="003428FF">
        <w:rPr>
          <w:rFonts w:ascii="Times New Roman" w:eastAsia="Times New Roman" w:hAnsi="Times New Roman" w:cs="Times New Roman"/>
          <w:color w:val="000000"/>
          <w:sz w:val="24"/>
          <w:szCs w:val="24"/>
        </w:rPr>
        <w:t>Compl. ¶¶ 16, 17) , and Plaintiff relied on that assumption when carrying out the rest of the transaction (</w:t>
      </w:r>
      <w:r w:rsidRPr="003428FF">
        <w:rPr>
          <w:rFonts w:ascii="Times New Roman" w:eastAsia="Times New Roman" w:hAnsi="Times New Roman" w:cs="Times New Roman"/>
          <w:i/>
          <w:iCs/>
          <w:color w:val="000000"/>
          <w:sz w:val="24"/>
          <w:szCs w:val="24"/>
        </w:rPr>
        <w:t xml:space="preserve">See </w:t>
      </w:r>
      <w:r w:rsidRPr="003428FF">
        <w:rPr>
          <w:rFonts w:ascii="Times New Roman" w:eastAsia="Times New Roman" w:hAnsi="Times New Roman" w:cs="Times New Roman"/>
          <w:color w:val="000000"/>
          <w:sz w:val="24"/>
          <w:szCs w:val="24"/>
        </w:rPr>
        <w:t xml:space="preserve">Compl. ¶¶ 22, 24). </w:t>
      </w:r>
    </w:p>
    <w:p w14:paraId="3A1B697B" w14:textId="77777777" w:rsidR="003428FF" w:rsidRPr="003428FF" w:rsidRDefault="003428FF" w:rsidP="003428FF">
      <w:pPr>
        <w:pStyle w:val="ListParagraph"/>
        <w:numPr>
          <w:ilvl w:val="0"/>
          <w:numId w:val="1"/>
        </w:numPr>
        <w:spacing w:after="0" w:line="240" w:lineRule="auto"/>
        <w:rPr>
          <w:rFonts w:ascii="Times New Roman" w:eastAsia="Times New Roman" w:hAnsi="Times New Roman" w:cs="Times New Roman"/>
          <w:sz w:val="24"/>
          <w:szCs w:val="24"/>
        </w:rPr>
      </w:pPr>
      <w:r w:rsidRPr="003428FF">
        <w:rPr>
          <w:rFonts w:ascii="Times New Roman" w:eastAsia="Times New Roman" w:hAnsi="Times New Roman" w:cs="Times New Roman"/>
          <w:b/>
          <w:bCs/>
          <w:color w:val="000000"/>
          <w:sz w:val="24"/>
          <w:szCs w:val="24"/>
        </w:rPr>
        <w:t xml:space="preserve">DEFENDANTS’ MOTION TO DISMISS SHOULD BE DENIED BECAUSE PUBLIC POLICY FAVORS </w:t>
      </w:r>
      <w:r w:rsidR="002420EC">
        <w:rPr>
          <w:rFonts w:ascii="Times New Roman" w:eastAsia="Times New Roman" w:hAnsi="Times New Roman" w:cs="Times New Roman"/>
          <w:b/>
          <w:bCs/>
          <w:color w:val="000000"/>
          <w:sz w:val="24"/>
          <w:szCs w:val="24"/>
        </w:rPr>
        <w:t>LEGISLATION</w:t>
      </w:r>
      <w:r w:rsidRPr="003428FF">
        <w:rPr>
          <w:rFonts w:ascii="Times New Roman" w:eastAsia="Times New Roman" w:hAnsi="Times New Roman" w:cs="Times New Roman"/>
          <w:b/>
          <w:bCs/>
          <w:color w:val="000000"/>
          <w:sz w:val="24"/>
          <w:szCs w:val="24"/>
        </w:rPr>
        <w:t xml:space="preserve"> THAT ENCOURAGE</w:t>
      </w:r>
      <w:r w:rsidR="002420EC">
        <w:rPr>
          <w:rFonts w:ascii="Times New Roman" w:eastAsia="Times New Roman" w:hAnsi="Times New Roman" w:cs="Times New Roman"/>
          <w:b/>
          <w:bCs/>
          <w:color w:val="000000"/>
          <w:sz w:val="24"/>
          <w:szCs w:val="24"/>
        </w:rPr>
        <w:t>S</w:t>
      </w:r>
      <w:r w:rsidRPr="003428FF">
        <w:rPr>
          <w:rFonts w:ascii="Times New Roman" w:eastAsia="Times New Roman" w:hAnsi="Times New Roman" w:cs="Times New Roman"/>
          <w:b/>
          <w:bCs/>
          <w:color w:val="000000"/>
          <w:sz w:val="24"/>
          <w:szCs w:val="24"/>
        </w:rPr>
        <w:t xml:space="preserve"> CREATIVE PROFESSIONALS TO SELL THEIR WORK FOR PROFIT</w:t>
      </w:r>
    </w:p>
    <w:p w14:paraId="48AA5BFD" w14:textId="77777777" w:rsidR="003428FF" w:rsidRDefault="003428FF" w:rsidP="003428FF">
      <w:pPr>
        <w:pStyle w:val="ListParagraph"/>
        <w:spacing w:after="0" w:line="240" w:lineRule="auto"/>
        <w:ind w:left="1080"/>
        <w:rPr>
          <w:rFonts w:ascii="Times New Roman" w:eastAsia="Times New Roman" w:hAnsi="Times New Roman" w:cs="Times New Roman"/>
          <w:sz w:val="24"/>
          <w:szCs w:val="24"/>
        </w:rPr>
      </w:pPr>
    </w:p>
    <w:p w14:paraId="4A97DD9D" w14:textId="77777777" w:rsidR="00CE4EF3" w:rsidRDefault="00CE4EF3" w:rsidP="002420EC">
      <w:pPr>
        <w:pStyle w:val="ListParagraph"/>
        <w:spacing w:after="0" w:line="480" w:lineRule="auto"/>
        <w:ind w:left="0"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It is generally good public policy to generate legislation that creates jobs and stimulates the economy. Construing statutes like the Copyright Act too narrowly will hinder growth in the industry in which creative professionals currently thrive. These professionals enjoy a wide range </w:t>
      </w:r>
      <w:r>
        <w:rPr>
          <w:rFonts w:ascii="Times New Roman" w:eastAsia="Times New Roman" w:hAnsi="Times New Roman" w:cs="Times New Roman"/>
          <w:color w:val="000000"/>
          <w:sz w:val="24"/>
          <w:szCs w:val="24"/>
        </w:rPr>
        <w:lastRenderedPageBreak/>
        <w:t xml:space="preserve">of options that provide many opportunities for them to sell their work for profit. A decision granting Defendant’s motion to dismiss will be to endorse a narrow reading of the Copyright Act as it pertains to these professionals, effectively reducing the number of opportunities available to them to profit from their work. A decision to read one provision in the statute narrowly will undoubtedly cause other provisions to be read narrowly as well. </w:t>
      </w:r>
      <w:r>
        <w:rPr>
          <w:rFonts w:ascii="Times New Roman" w:eastAsia="Times New Roman" w:hAnsi="Times New Roman" w:cs="Times New Roman"/>
          <w:i/>
          <w:color w:val="000000"/>
          <w:sz w:val="24"/>
          <w:szCs w:val="24"/>
        </w:rPr>
        <w:t>See</w:t>
      </w:r>
      <w:r w:rsidR="00916B26">
        <w:rPr>
          <w:rFonts w:ascii="Times New Roman" w:eastAsia="Times New Roman" w:hAnsi="Times New Roman" w:cs="Times New Roman"/>
          <w:i/>
          <w:color w:val="000000"/>
          <w:sz w:val="24"/>
          <w:szCs w:val="24"/>
        </w:rPr>
        <w:t>, e.g.</w:t>
      </w:r>
      <w:r w:rsidR="00916B26">
        <w:rPr>
          <w:rFonts w:ascii="Times New Roman" w:eastAsia="Times New Roman" w:hAnsi="Times New Roman" w:cs="Times New Roman"/>
          <w:color w:val="000000"/>
          <w:sz w:val="24"/>
          <w:szCs w:val="24"/>
        </w:rPr>
        <w:t>,</w:t>
      </w:r>
      <w:r>
        <w:rPr>
          <w:rFonts w:ascii="Times New Roman" w:eastAsia="Times New Roman" w:hAnsi="Times New Roman" w:cs="Times New Roman"/>
          <w:i/>
          <w:color w:val="000000"/>
          <w:sz w:val="24"/>
          <w:szCs w:val="24"/>
        </w:rPr>
        <w:t xml:space="preserve"> </w:t>
      </w:r>
      <w:r w:rsidR="00916B26">
        <w:rPr>
          <w:rFonts w:ascii="Times New Roman" w:eastAsia="Times New Roman" w:hAnsi="Times New Roman" w:cs="Times New Roman"/>
          <w:i/>
          <w:color w:val="000000"/>
          <w:sz w:val="24"/>
          <w:szCs w:val="24"/>
        </w:rPr>
        <w:t>Babbit v. Sweet Home Chapter of Cmtys. for a Great Oregon</w:t>
      </w:r>
      <w:r w:rsidR="00916B26">
        <w:rPr>
          <w:rFonts w:ascii="Times New Roman" w:eastAsia="Times New Roman" w:hAnsi="Times New Roman" w:cs="Times New Roman"/>
          <w:color w:val="000000"/>
          <w:sz w:val="24"/>
          <w:szCs w:val="24"/>
        </w:rPr>
        <w:t xml:space="preserve">, 515 U.S. 687 (1995). </w:t>
      </w:r>
      <w:r>
        <w:rPr>
          <w:rFonts w:ascii="Times New Roman" w:eastAsia="Times New Roman" w:hAnsi="Times New Roman" w:cs="Times New Roman"/>
          <w:color w:val="000000"/>
          <w:sz w:val="24"/>
          <w:szCs w:val="24"/>
        </w:rPr>
        <w:t>Freelance artists, lik</w:t>
      </w:r>
      <w:r w:rsidR="00916B26">
        <w:rPr>
          <w:rFonts w:ascii="Times New Roman" w:eastAsia="Times New Roman" w:hAnsi="Times New Roman" w:cs="Times New Roman"/>
          <w:color w:val="000000"/>
          <w:sz w:val="24"/>
          <w:szCs w:val="24"/>
        </w:rPr>
        <w:t>e Defendant, will be restricted in their ability to sell their work quickly and efficiently, and creativity on the whole of the industry will suffer.</w:t>
      </w:r>
    </w:p>
    <w:p w14:paraId="3F1DAEAC" w14:textId="77777777" w:rsidR="007D0090" w:rsidRPr="008D06BE" w:rsidRDefault="002420EC" w:rsidP="007D0090">
      <w:pPr>
        <w:pStyle w:val="ListParagraph"/>
        <w:spacing w:after="0" w:line="480" w:lineRule="auto"/>
        <w:ind w:left="0" w:firstLine="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Defendant argues the statute should be construed </w:t>
      </w:r>
      <w:r w:rsidR="003428FF" w:rsidRPr="003428FF">
        <w:rPr>
          <w:rFonts w:ascii="Times New Roman" w:eastAsia="Times New Roman" w:hAnsi="Times New Roman" w:cs="Times New Roman"/>
          <w:color w:val="000000"/>
          <w:sz w:val="24"/>
          <w:szCs w:val="24"/>
        </w:rPr>
        <w:t>to protect artists and other creative professionals from agreements in which they have little bargaining power and are forced to accept work-for-hire agreements. Some courts have also reasoned that, as a matter of public policy, the work-for-hire provision should be construed narr</w:t>
      </w:r>
      <w:r w:rsidR="00916B26">
        <w:rPr>
          <w:rFonts w:ascii="Times New Roman" w:eastAsia="Times New Roman" w:hAnsi="Times New Roman" w:cs="Times New Roman"/>
          <w:color w:val="000000"/>
          <w:sz w:val="24"/>
          <w:szCs w:val="24"/>
        </w:rPr>
        <w:t>owly and in favor of the artist</w:t>
      </w:r>
      <w:r w:rsidR="003428FF" w:rsidRPr="003428FF">
        <w:rPr>
          <w:rFonts w:ascii="Times New Roman" w:eastAsia="Times New Roman" w:hAnsi="Times New Roman" w:cs="Times New Roman"/>
          <w:color w:val="000000"/>
          <w:sz w:val="24"/>
          <w:szCs w:val="24"/>
        </w:rPr>
        <w:t xml:space="preserve">. </w:t>
      </w:r>
      <w:r w:rsidR="003428FF" w:rsidRPr="003428FF">
        <w:rPr>
          <w:rFonts w:ascii="Times New Roman" w:eastAsia="Times New Roman" w:hAnsi="Times New Roman" w:cs="Times New Roman"/>
          <w:i/>
          <w:iCs/>
          <w:color w:val="000000"/>
          <w:sz w:val="24"/>
          <w:szCs w:val="24"/>
        </w:rPr>
        <w:t>Picture Music, Inc. v. Bourne, Inc.</w:t>
      </w:r>
      <w:r w:rsidR="008D06BE">
        <w:rPr>
          <w:rFonts w:ascii="Times New Roman" w:eastAsia="Times New Roman" w:hAnsi="Times New Roman" w:cs="Times New Roman"/>
          <w:color w:val="000000"/>
          <w:sz w:val="24"/>
          <w:szCs w:val="24"/>
        </w:rPr>
        <w:t>, 314 F</w:t>
      </w:r>
      <w:r w:rsidR="003428FF" w:rsidRPr="003428FF">
        <w:rPr>
          <w:rFonts w:ascii="Times New Roman" w:eastAsia="Times New Roman" w:hAnsi="Times New Roman" w:cs="Times New Roman"/>
          <w:color w:val="000000"/>
          <w:sz w:val="24"/>
          <w:szCs w:val="24"/>
        </w:rPr>
        <w:t>.Supp. 640 at</w:t>
      </w:r>
      <w:r w:rsidR="008D06BE">
        <w:rPr>
          <w:rFonts w:ascii="Times New Roman" w:eastAsia="Times New Roman" w:hAnsi="Times New Roman" w:cs="Times New Roman"/>
          <w:color w:val="000000"/>
          <w:sz w:val="24"/>
          <w:szCs w:val="24"/>
        </w:rPr>
        <w:t> 713</w:t>
      </w:r>
      <w:r w:rsidR="003428FF" w:rsidRPr="003428FF">
        <w:rPr>
          <w:rFonts w:ascii="Times New Roman" w:eastAsia="Times New Roman" w:hAnsi="Times New Roman" w:cs="Times New Roman"/>
          <w:color w:val="000000"/>
          <w:sz w:val="24"/>
          <w:szCs w:val="24"/>
        </w:rPr>
        <w:t>. While this argument is important and should be considered, unequal bargaining power and coercion are not in the present case. Defendant was well-known in the industry with over fifteen years of experience. (</w:t>
      </w:r>
      <w:r w:rsidR="003428FF" w:rsidRPr="003428FF">
        <w:rPr>
          <w:rFonts w:ascii="Times New Roman" w:eastAsia="Times New Roman" w:hAnsi="Times New Roman" w:cs="Times New Roman"/>
          <w:i/>
          <w:iCs/>
          <w:color w:val="000000"/>
          <w:sz w:val="24"/>
          <w:szCs w:val="24"/>
        </w:rPr>
        <w:t>See</w:t>
      </w:r>
      <w:r w:rsidR="003428FF" w:rsidRPr="003428FF">
        <w:rPr>
          <w:rFonts w:ascii="Times New Roman" w:eastAsia="Times New Roman" w:hAnsi="Times New Roman" w:cs="Times New Roman"/>
          <w:color w:val="000000"/>
          <w:sz w:val="24"/>
          <w:szCs w:val="24"/>
        </w:rPr>
        <w:t xml:space="preserve"> Compl. ¶ ¶ 11, 20.)</w:t>
      </w:r>
      <w:r>
        <w:rPr>
          <w:rFonts w:ascii="Times New Roman" w:eastAsia="Times New Roman" w:hAnsi="Times New Roman" w:cs="Times New Roman"/>
          <w:color w:val="000000"/>
          <w:sz w:val="24"/>
          <w:szCs w:val="24"/>
        </w:rPr>
        <w:t xml:space="preserve"> </w:t>
      </w:r>
      <w:r w:rsidR="008D06BE">
        <w:rPr>
          <w:rFonts w:ascii="Times New Roman" w:eastAsia="Times New Roman" w:hAnsi="Times New Roman" w:cs="Times New Roman"/>
          <w:color w:val="000000"/>
          <w:sz w:val="24"/>
          <w:szCs w:val="24"/>
        </w:rPr>
        <w:t>Plaintiff sought out Defendant</w:t>
      </w:r>
      <w:r w:rsidR="00916B26">
        <w:rPr>
          <w:rFonts w:ascii="Times New Roman" w:eastAsia="Times New Roman" w:hAnsi="Times New Roman" w:cs="Times New Roman"/>
          <w:color w:val="000000"/>
          <w:sz w:val="24"/>
          <w:szCs w:val="24"/>
        </w:rPr>
        <w:t xml:space="preserve"> </w:t>
      </w:r>
      <w:r w:rsidR="008D06BE">
        <w:rPr>
          <w:rFonts w:ascii="Times New Roman" w:eastAsia="Times New Roman" w:hAnsi="Times New Roman" w:cs="Times New Roman"/>
          <w:color w:val="000000"/>
          <w:sz w:val="24"/>
          <w:szCs w:val="24"/>
        </w:rPr>
        <w:t>because it admired her work on previous television shows. (</w:t>
      </w:r>
      <w:r w:rsidR="008D06BE">
        <w:rPr>
          <w:rFonts w:ascii="Times New Roman" w:eastAsia="Times New Roman" w:hAnsi="Times New Roman" w:cs="Times New Roman"/>
          <w:i/>
          <w:color w:val="000000"/>
          <w:sz w:val="24"/>
          <w:szCs w:val="24"/>
        </w:rPr>
        <w:t xml:space="preserve">See </w:t>
      </w:r>
      <w:r w:rsidR="008D06BE">
        <w:rPr>
          <w:rFonts w:ascii="Times New Roman" w:eastAsia="Times New Roman" w:hAnsi="Times New Roman" w:cs="Times New Roman"/>
          <w:color w:val="000000"/>
          <w:sz w:val="24"/>
          <w:szCs w:val="24"/>
        </w:rPr>
        <w:t xml:space="preserve">Compl. </w:t>
      </w:r>
      <w:r w:rsidR="008D06BE" w:rsidRPr="003428FF">
        <w:rPr>
          <w:rFonts w:ascii="Times New Roman" w:eastAsia="Times New Roman" w:hAnsi="Times New Roman" w:cs="Times New Roman"/>
          <w:color w:val="000000"/>
          <w:sz w:val="24"/>
          <w:szCs w:val="24"/>
        </w:rPr>
        <w:t>¶¶</w:t>
      </w:r>
      <w:r w:rsidR="008D06BE">
        <w:rPr>
          <w:rFonts w:ascii="Times New Roman" w:eastAsia="Times New Roman" w:hAnsi="Times New Roman" w:cs="Times New Roman"/>
          <w:color w:val="000000"/>
          <w:sz w:val="24"/>
          <w:szCs w:val="24"/>
        </w:rPr>
        <w:t xml:space="preserve"> 9, 14, 20). Because Defendant enjoyed an esteemed reputation in the industry (Compl. </w:t>
      </w:r>
      <w:r w:rsidR="008D06BE" w:rsidRPr="003428FF">
        <w:rPr>
          <w:rFonts w:ascii="Times New Roman" w:eastAsia="Times New Roman" w:hAnsi="Times New Roman" w:cs="Times New Roman"/>
          <w:color w:val="000000"/>
          <w:sz w:val="24"/>
          <w:szCs w:val="24"/>
        </w:rPr>
        <w:t>¶</w:t>
      </w:r>
      <w:r w:rsidR="008D06BE">
        <w:rPr>
          <w:rFonts w:ascii="Times New Roman" w:eastAsia="Times New Roman" w:hAnsi="Times New Roman" w:cs="Times New Roman"/>
          <w:color w:val="000000"/>
          <w:sz w:val="24"/>
          <w:szCs w:val="24"/>
        </w:rPr>
        <w:t xml:space="preserve"> 11), she had the experience, expert knowledge, and power to negotiate an agreement that would be to her satisfaction. In fact, she expressed that she was satisfied with the agreement on several occasions: first when she assented, “Yes,” during the initial meeting (Compl. </w:t>
      </w:r>
      <w:r w:rsidR="008D06BE" w:rsidRPr="003428FF">
        <w:rPr>
          <w:rFonts w:ascii="Times New Roman" w:eastAsia="Times New Roman" w:hAnsi="Times New Roman" w:cs="Times New Roman"/>
          <w:color w:val="000000"/>
          <w:sz w:val="24"/>
          <w:szCs w:val="24"/>
        </w:rPr>
        <w:t>¶</w:t>
      </w:r>
      <w:r w:rsidR="008D06BE">
        <w:rPr>
          <w:rFonts w:ascii="Times New Roman" w:eastAsia="Times New Roman" w:hAnsi="Times New Roman" w:cs="Times New Roman"/>
          <w:color w:val="000000"/>
          <w:sz w:val="24"/>
          <w:szCs w:val="24"/>
        </w:rPr>
        <w:t xml:space="preserve"> 17) ; secondly when she submitted her screenplay without issue (</w:t>
      </w:r>
      <w:r w:rsidR="008D06BE">
        <w:rPr>
          <w:rFonts w:ascii="Times New Roman" w:eastAsia="Times New Roman" w:hAnsi="Times New Roman" w:cs="Times New Roman"/>
          <w:i/>
          <w:color w:val="000000"/>
          <w:sz w:val="24"/>
          <w:szCs w:val="24"/>
        </w:rPr>
        <w:t xml:space="preserve">See </w:t>
      </w:r>
      <w:r w:rsidR="008D06BE">
        <w:rPr>
          <w:rFonts w:ascii="Times New Roman" w:eastAsia="Times New Roman" w:hAnsi="Times New Roman" w:cs="Times New Roman"/>
          <w:color w:val="000000"/>
          <w:sz w:val="24"/>
          <w:szCs w:val="24"/>
        </w:rPr>
        <w:t xml:space="preserve">Compl. </w:t>
      </w:r>
      <w:r w:rsidR="008D06BE" w:rsidRPr="003428FF">
        <w:rPr>
          <w:rFonts w:ascii="Times New Roman" w:eastAsia="Times New Roman" w:hAnsi="Times New Roman" w:cs="Times New Roman"/>
          <w:color w:val="000000"/>
          <w:sz w:val="24"/>
          <w:szCs w:val="24"/>
        </w:rPr>
        <w:t>¶</w:t>
      </w:r>
      <w:r w:rsidR="008D06BE">
        <w:rPr>
          <w:rFonts w:ascii="Times New Roman" w:eastAsia="Times New Roman" w:hAnsi="Times New Roman" w:cs="Times New Roman"/>
          <w:color w:val="000000"/>
          <w:sz w:val="24"/>
          <w:szCs w:val="24"/>
        </w:rPr>
        <w:t xml:space="preserve"> 21); and finally when she received her final payment and signed the “Work-Made-For-Hire Agreement” (Compl. </w:t>
      </w:r>
      <w:r w:rsidR="008D06BE" w:rsidRPr="003428FF">
        <w:rPr>
          <w:rFonts w:ascii="Times New Roman" w:eastAsia="Times New Roman" w:hAnsi="Times New Roman" w:cs="Times New Roman"/>
          <w:color w:val="000000"/>
          <w:sz w:val="24"/>
          <w:szCs w:val="24"/>
        </w:rPr>
        <w:t>¶</w:t>
      </w:r>
      <w:r w:rsidR="008D06BE">
        <w:rPr>
          <w:rFonts w:ascii="Times New Roman" w:eastAsia="Times New Roman" w:hAnsi="Times New Roman" w:cs="Times New Roman"/>
          <w:color w:val="000000"/>
          <w:sz w:val="24"/>
          <w:szCs w:val="24"/>
        </w:rPr>
        <w:t xml:space="preserve"> 24). </w:t>
      </w:r>
      <w:r w:rsidR="007D0090">
        <w:rPr>
          <w:rFonts w:ascii="Times New Roman" w:eastAsia="Times New Roman" w:hAnsi="Times New Roman" w:cs="Times New Roman"/>
          <w:color w:val="000000"/>
          <w:sz w:val="24"/>
          <w:szCs w:val="24"/>
        </w:rPr>
        <w:t xml:space="preserve">Defendant could have walked away or renegotiated at any point.   </w:t>
      </w:r>
    </w:p>
    <w:p w14:paraId="70C2BFC4" w14:textId="77777777" w:rsidR="003428FF" w:rsidRDefault="007D0090" w:rsidP="003428FF">
      <w:pPr>
        <w:spacing w:after="0" w:line="240" w:lineRule="auto"/>
        <w:jc w:val="center"/>
        <w:rPr>
          <w:rFonts w:ascii="Times New Roman" w:eastAsia="Times New Roman" w:hAnsi="Times New Roman" w:cs="Times New Roman"/>
          <w:b/>
          <w:bCs/>
          <w:color w:val="000000"/>
          <w:sz w:val="24"/>
          <w:szCs w:val="24"/>
          <w:u w:val="single"/>
        </w:rPr>
      </w:pPr>
      <w:r>
        <w:rPr>
          <w:rFonts w:ascii="Times New Roman" w:eastAsia="Times New Roman" w:hAnsi="Times New Roman" w:cs="Times New Roman"/>
          <w:b/>
          <w:bCs/>
          <w:color w:val="000000"/>
          <w:sz w:val="24"/>
          <w:szCs w:val="24"/>
          <w:u w:val="single"/>
        </w:rPr>
        <w:lastRenderedPageBreak/>
        <w:t>C</w:t>
      </w:r>
      <w:r w:rsidR="003428FF" w:rsidRPr="003428FF">
        <w:rPr>
          <w:rFonts w:ascii="Times New Roman" w:eastAsia="Times New Roman" w:hAnsi="Times New Roman" w:cs="Times New Roman"/>
          <w:b/>
          <w:bCs/>
          <w:color w:val="000000"/>
          <w:sz w:val="24"/>
          <w:szCs w:val="24"/>
          <w:u w:val="single"/>
        </w:rPr>
        <w:t>ONCLUSION</w:t>
      </w:r>
    </w:p>
    <w:p w14:paraId="7A43C6BF" w14:textId="77777777" w:rsidR="008D06BE" w:rsidRPr="003428FF" w:rsidRDefault="008D06BE" w:rsidP="003428FF">
      <w:pPr>
        <w:spacing w:after="0" w:line="240" w:lineRule="auto"/>
        <w:jc w:val="center"/>
        <w:rPr>
          <w:rFonts w:ascii="Times New Roman" w:eastAsia="Times New Roman" w:hAnsi="Times New Roman" w:cs="Times New Roman"/>
          <w:sz w:val="24"/>
          <w:szCs w:val="24"/>
        </w:rPr>
      </w:pPr>
    </w:p>
    <w:p w14:paraId="152C9A08" w14:textId="77777777" w:rsidR="003428FF" w:rsidRPr="003428FF" w:rsidRDefault="003428FF" w:rsidP="00425DCD">
      <w:pPr>
        <w:spacing w:after="0" w:line="480" w:lineRule="auto"/>
        <w:rPr>
          <w:rFonts w:ascii="Times New Roman" w:eastAsia="Times New Roman" w:hAnsi="Times New Roman" w:cs="Times New Roman"/>
          <w:sz w:val="24"/>
          <w:szCs w:val="24"/>
        </w:rPr>
      </w:pPr>
      <w:r w:rsidRPr="003428FF">
        <w:rPr>
          <w:rFonts w:ascii="Times New Roman" w:eastAsia="Times New Roman" w:hAnsi="Times New Roman" w:cs="Times New Roman"/>
          <w:color w:val="000000"/>
          <w:sz w:val="24"/>
          <w:szCs w:val="24"/>
        </w:rPr>
        <w:t xml:space="preserve">    This court should deny Defendant’s motion to dismiss because the plain meaning of 17 U.S.C. § 101(2) is plain and clear. A writing in a “work made for hire”agreement can be signed at any point in the transaction, and there is no presence of a contrary agreement that would mitigate the presumption that the </w:t>
      </w:r>
      <w:r w:rsidR="00425DCD">
        <w:rPr>
          <w:rFonts w:ascii="Times New Roman" w:eastAsia="Times New Roman" w:hAnsi="Times New Roman" w:cs="Times New Roman"/>
          <w:color w:val="000000"/>
          <w:sz w:val="24"/>
          <w:szCs w:val="24"/>
        </w:rPr>
        <w:t>Plaintiff, the commissioning</w:t>
      </w:r>
      <w:r w:rsidRPr="003428FF">
        <w:rPr>
          <w:rFonts w:ascii="Times New Roman" w:eastAsia="Times New Roman" w:hAnsi="Times New Roman" w:cs="Times New Roman"/>
          <w:color w:val="000000"/>
          <w:sz w:val="24"/>
          <w:szCs w:val="24"/>
        </w:rPr>
        <w:t xml:space="preserve"> party</w:t>
      </w:r>
      <w:r w:rsidR="00425DCD">
        <w:rPr>
          <w:rFonts w:ascii="Times New Roman" w:eastAsia="Times New Roman" w:hAnsi="Times New Roman" w:cs="Times New Roman"/>
          <w:color w:val="000000"/>
          <w:sz w:val="24"/>
          <w:szCs w:val="24"/>
        </w:rPr>
        <w:t>,</w:t>
      </w:r>
      <w:r w:rsidRPr="003428FF">
        <w:rPr>
          <w:rFonts w:ascii="Times New Roman" w:eastAsia="Times New Roman" w:hAnsi="Times New Roman" w:cs="Times New Roman"/>
          <w:color w:val="000000"/>
          <w:sz w:val="24"/>
          <w:szCs w:val="24"/>
        </w:rPr>
        <w:t xml:space="preserve"> is the author. Even </w:t>
      </w:r>
      <w:r w:rsidR="00425DCD">
        <w:rPr>
          <w:rFonts w:ascii="Times New Roman" w:eastAsia="Times New Roman" w:hAnsi="Times New Roman" w:cs="Times New Roman"/>
          <w:color w:val="000000"/>
          <w:sz w:val="24"/>
          <w:szCs w:val="24"/>
        </w:rPr>
        <w:t xml:space="preserve">if </w:t>
      </w:r>
      <w:r w:rsidRPr="003428FF">
        <w:rPr>
          <w:rFonts w:ascii="Times New Roman" w:eastAsia="Times New Roman" w:hAnsi="Times New Roman" w:cs="Times New Roman"/>
          <w:color w:val="000000"/>
          <w:sz w:val="24"/>
          <w:szCs w:val="24"/>
        </w:rPr>
        <w:t>this court finds the statutory language to be ambiguous,</w:t>
      </w:r>
      <w:r w:rsidR="00425DCD">
        <w:rPr>
          <w:rFonts w:ascii="Times New Roman" w:eastAsia="Times New Roman" w:hAnsi="Times New Roman" w:cs="Times New Roman"/>
          <w:color w:val="000000"/>
          <w:sz w:val="24"/>
          <w:szCs w:val="24"/>
        </w:rPr>
        <w:t xml:space="preserve"> the legislative history </w:t>
      </w:r>
      <w:r w:rsidRPr="003428FF">
        <w:rPr>
          <w:rFonts w:ascii="Times New Roman" w:eastAsia="Times New Roman" w:hAnsi="Times New Roman" w:cs="Times New Roman"/>
          <w:color w:val="000000"/>
          <w:sz w:val="24"/>
          <w:szCs w:val="24"/>
        </w:rPr>
        <w:t>also suppor</w:t>
      </w:r>
      <w:r w:rsidR="00425DCD">
        <w:rPr>
          <w:rFonts w:ascii="Times New Roman" w:eastAsia="Times New Roman" w:hAnsi="Times New Roman" w:cs="Times New Roman"/>
          <w:color w:val="000000"/>
          <w:sz w:val="24"/>
          <w:szCs w:val="24"/>
        </w:rPr>
        <w:t>ts a finding for the Plaintiff, because of the careful compromise that the current statute represents.</w:t>
      </w:r>
      <w:r w:rsidR="00425DCD">
        <w:rPr>
          <w:rFonts w:ascii="Times New Roman" w:eastAsia="Times New Roman" w:hAnsi="Times New Roman" w:cs="Times New Roman"/>
          <w:sz w:val="24"/>
          <w:szCs w:val="24"/>
        </w:rPr>
        <w:t xml:space="preserve"> The courts have already begun to fill this void that Congress left in the statute, and</w:t>
      </w:r>
      <w:r w:rsidRPr="003428FF">
        <w:rPr>
          <w:rFonts w:ascii="Times New Roman" w:eastAsia="Times New Roman" w:hAnsi="Times New Roman" w:cs="Times New Roman"/>
          <w:color w:val="000000"/>
          <w:sz w:val="24"/>
          <w:szCs w:val="24"/>
        </w:rPr>
        <w:t xml:space="preserve"> a plurality of circuits have held that a post-crea</w:t>
      </w:r>
      <w:r w:rsidR="00425DCD">
        <w:rPr>
          <w:rFonts w:ascii="Times New Roman" w:eastAsia="Times New Roman" w:hAnsi="Times New Roman" w:cs="Times New Roman"/>
          <w:color w:val="000000"/>
          <w:sz w:val="24"/>
          <w:szCs w:val="24"/>
        </w:rPr>
        <w:t xml:space="preserve">tion signature creates a valid </w:t>
      </w:r>
      <w:r w:rsidRPr="003428FF">
        <w:rPr>
          <w:rFonts w:ascii="Times New Roman" w:eastAsia="Times New Roman" w:hAnsi="Times New Roman" w:cs="Times New Roman"/>
          <w:color w:val="000000"/>
          <w:sz w:val="24"/>
          <w:szCs w:val="24"/>
        </w:rPr>
        <w:t xml:space="preserve">work made for hire agreement under the Copyright Act. The First and Second Circuits have both determined that writings that were signed after the creation of the work were valid works made for hire, since they were memorializing a prior agreement. Finally, Defendant’s motion to dismiss should be denied because public policy favors transactions that encourage creative professionals to sell their work for profit. </w:t>
      </w:r>
    </w:p>
    <w:p w14:paraId="6B1DD622" w14:textId="77777777" w:rsidR="00425DCD" w:rsidRDefault="00425DCD" w:rsidP="003428FF">
      <w:pPr>
        <w:rPr>
          <w:rFonts w:ascii="Times New Roman" w:hAnsi="Times New Roman" w:cs="Times New Roman"/>
        </w:rPr>
      </w:pPr>
    </w:p>
    <w:p w14:paraId="72ACBD27" w14:textId="77777777" w:rsidR="00072F82" w:rsidRDefault="00072F82" w:rsidP="003428FF">
      <w:pPr>
        <w:rPr>
          <w:rFonts w:ascii="Times New Roman" w:hAnsi="Times New Roman" w:cs="Times New Roman"/>
        </w:rPr>
      </w:pPr>
      <w:r>
        <w:rPr>
          <w:rFonts w:ascii="Times New Roman" w:hAnsi="Times New Roman" w:cs="Times New Roman"/>
        </w:rPr>
        <w:t>Dated: March 21, 2012</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Respectfully submitted, </w:t>
      </w:r>
    </w:p>
    <w:p w14:paraId="67E16319" w14:textId="77777777" w:rsidR="00072F82" w:rsidRPr="00B02C63" w:rsidRDefault="00072F82" w:rsidP="000A24D7">
      <w:pPr>
        <w:rPr>
          <w:u w:val="single"/>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0A24D7">
        <w:rPr>
          <w:rFonts w:ascii="Times New Roman" w:hAnsi="Times New Roman" w:cs="Times New Roman"/>
        </w:rPr>
        <w:t>&lt;redacted&gt;&lt;/redacted&gt;</w:t>
      </w:r>
      <w:bookmarkStart w:id="0" w:name="_GoBack"/>
      <w:bookmarkEnd w:id="0"/>
    </w:p>
    <w:p w14:paraId="4CA39F81" w14:textId="77777777" w:rsidR="00072F82" w:rsidRDefault="00292D9F" w:rsidP="00292D9F">
      <w:pPr>
        <w:jc w:val="both"/>
      </w:pPr>
      <w:r>
        <w:tab/>
      </w:r>
      <w:r>
        <w:tab/>
      </w:r>
      <w:r>
        <w:tab/>
      </w:r>
      <w:r>
        <w:tab/>
      </w:r>
      <w:r>
        <w:tab/>
      </w:r>
      <w:r>
        <w:tab/>
      </w:r>
      <w:r>
        <w:tab/>
      </w:r>
    </w:p>
    <w:p w14:paraId="3C2B0782" w14:textId="77777777" w:rsidR="00292D9F" w:rsidRDefault="00292D9F" w:rsidP="00292D9F">
      <w:pPr>
        <w:spacing w:after="0" w:line="240" w:lineRule="auto"/>
        <w:jc w:val="both"/>
        <w:rPr>
          <w:rFonts w:ascii="Times New Roman" w:hAnsi="Times New Roman" w:cs="Times New Roman"/>
          <w:sz w:val="24"/>
          <w:szCs w:val="24"/>
        </w:rPr>
      </w:pPr>
      <w:r>
        <w:tab/>
      </w:r>
      <w:r>
        <w:tab/>
      </w:r>
      <w:r>
        <w:tab/>
      </w:r>
      <w:r>
        <w:tab/>
      </w:r>
      <w:r>
        <w:tab/>
      </w:r>
      <w:r>
        <w:tab/>
      </w:r>
      <w:r>
        <w:tab/>
      </w:r>
      <w:r>
        <w:rPr>
          <w:rFonts w:ascii="Times New Roman" w:hAnsi="Times New Roman" w:cs="Times New Roman"/>
          <w:sz w:val="24"/>
          <w:szCs w:val="24"/>
        </w:rPr>
        <w:t>ATTORNEY FOR PLAINTIFF</w:t>
      </w:r>
    </w:p>
    <w:p w14:paraId="59CBD26D" w14:textId="77777777" w:rsidR="00072F82" w:rsidRPr="00CE4EF3" w:rsidRDefault="00292D9F" w:rsidP="00CE4EF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OGS TV, INC. </w:t>
      </w:r>
    </w:p>
    <w:sectPr w:rsidR="00072F82" w:rsidRPr="00CE4EF3">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0B30D4" w14:textId="77777777" w:rsidR="00E64FCB" w:rsidRDefault="00E64FCB" w:rsidP="00425DCD">
      <w:pPr>
        <w:spacing w:after="0" w:line="240" w:lineRule="auto"/>
      </w:pPr>
      <w:r>
        <w:separator/>
      </w:r>
    </w:p>
  </w:endnote>
  <w:endnote w:type="continuationSeparator" w:id="0">
    <w:p w14:paraId="39F32609" w14:textId="77777777" w:rsidR="00E64FCB" w:rsidRDefault="00E64FCB" w:rsidP="00425D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981AFD" w14:textId="77777777" w:rsidR="00425DCD" w:rsidRDefault="00425DCD">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5191286"/>
      <w:docPartObj>
        <w:docPartGallery w:val="Page Numbers (Bottom of Page)"/>
        <w:docPartUnique/>
      </w:docPartObj>
    </w:sdtPr>
    <w:sdtEndPr>
      <w:rPr>
        <w:noProof/>
      </w:rPr>
    </w:sdtEndPr>
    <w:sdtContent>
      <w:p w14:paraId="37098A8B" w14:textId="77777777" w:rsidR="00425DCD" w:rsidRDefault="00425DCD">
        <w:pPr>
          <w:pStyle w:val="Footer"/>
          <w:jc w:val="right"/>
        </w:pPr>
        <w:r>
          <w:fldChar w:fldCharType="begin"/>
        </w:r>
        <w:r>
          <w:instrText xml:space="preserve"> PAGE   \* MERGEFORMAT </w:instrText>
        </w:r>
        <w:r>
          <w:fldChar w:fldCharType="separate"/>
        </w:r>
        <w:r w:rsidR="000A24D7">
          <w:rPr>
            <w:noProof/>
          </w:rPr>
          <w:t>15</w:t>
        </w:r>
        <w:r>
          <w:rPr>
            <w:noProof/>
          </w:rPr>
          <w:fldChar w:fldCharType="end"/>
        </w:r>
      </w:p>
    </w:sdtContent>
  </w:sdt>
  <w:p w14:paraId="0414D80F" w14:textId="77777777" w:rsidR="00425DCD" w:rsidRDefault="00425DCD">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BA5EA" w14:textId="77777777" w:rsidR="00425DCD" w:rsidRDefault="00425DC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CA999B" w14:textId="77777777" w:rsidR="00E64FCB" w:rsidRDefault="00E64FCB" w:rsidP="00425DCD">
      <w:pPr>
        <w:spacing w:after="0" w:line="240" w:lineRule="auto"/>
      </w:pPr>
      <w:r>
        <w:separator/>
      </w:r>
    </w:p>
  </w:footnote>
  <w:footnote w:type="continuationSeparator" w:id="0">
    <w:p w14:paraId="7E5D6F41" w14:textId="77777777" w:rsidR="00E64FCB" w:rsidRDefault="00E64FCB" w:rsidP="00425DCD">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9799CD" w14:textId="77777777" w:rsidR="00425DCD" w:rsidRDefault="00425DCD">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9AA03" w14:textId="77777777" w:rsidR="00425DCD" w:rsidRDefault="00425DCD">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A3922" w14:textId="77777777" w:rsidR="00425DCD" w:rsidRDefault="00425DCD">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514DD"/>
    <w:multiLevelType w:val="hybridMultilevel"/>
    <w:tmpl w:val="B2305AD2"/>
    <w:lvl w:ilvl="0" w:tplc="7C041D1A">
      <w:start w:val="1"/>
      <w:numFmt w:val="upperRoman"/>
      <w:lvlText w:val="%1."/>
      <w:lvlJc w:val="left"/>
      <w:pPr>
        <w:ind w:left="1080" w:hanging="720"/>
      </w:pPr>
      <w:rPr>
        <w:rFonts w:hint="default"/>
        <w:b/>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BBC2C9D"/>
    <w:multiLevelType w:val="hybridMultilevel"/>
    <w:tmpl w:val="62D84C6A"/>
    <w:lvl w:ilvl="0" w:tplc="1DA6C31A">
      <w:start w:val="1"/>
      <w:numFmt w:val="upperLetter"/>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D590029"/>
    <w:multiLevelType w:val="hybridMultilevel"/>
    <w:tmpl w:val="C520DC08"/>
    <w:lvl w:ilvl="0" w:tplc="757E04F6">
      <w:start w:val="1"/>
      <w:numFmt w:val="upperLetter"/>
      <w:lvlText w:val="%1."/>
      <w:lvlJc w:val="left"/>
      <w:pPr>
        <w:ind w:left="1440" w:hanging="360"/>
      </w:pPr>
      <w:rPr>
        <w:rFonts w:hint="default"/>
        <w:b/>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DE3"/>
    <w:rsid w:val="00072F82"/>
    <w:rsid w:val="000A24D7"/>
    <w:rsid w:val="002420EC"/>
    <w:rsid w:val="0025302A"/>
    <w:rsid w:val="00292D9F"/>
    <w:rsid w:val="003428FF"/>
    <w:rsid w:val="003E65D8"/>
    <w:rsid w:val="00425DCD"/>
    <w:rsid w:val="00571BBE"/>
    <w:rsid w:val="00715DE3"/>
    <w:rsid w:val="007D0090"/>
    <w:rsid w:val="007D2201"/>
    <w:rsid w:val="007F3E67"/>
    <w:rsid w:val="00874BE1"/>
    <w:rsid w:val="008B5264"/>
    <w:rsid w:val="008D06BE"/>
    <w:rsid w:val="00916B26"/>
    <w:rsid w:val="00A42B8A"/>
    <w:rsid w:val="00CC3818"/>
    <w:rsid w:val="00CE4EF3"/>
    <w:rsid w:val="00E64FCB"/>
    <w:rsid w:val="00ED5D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430C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428F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428FF"/>
    <w:rPr>
      <w:color w:val="0000FF"/>
      <w:u w:val="single"/>
    </w:rPr>
  </w:style>
  <w:style w:type="paragraph" w:styleId="ListParagraph">
    <w:name w:val="List Paragraph"/>
    <w:basedOn w:val="Normal"/>
    <w:uiPriority w:val="34"/>
    <w:qFormat/>
    <w:rsid w:val="003428FF"/>
    <w:pPr>
      <w:ind w:left="720"/>
      <w:contextualSpacing/>
    </w:pPr>
  </w:style>
  <w:style w:type="paragraph" w:styleId="Footer">
    <w:name w:val="footer"/>
    <w:basedOn w:val="Normal"/>
    <w:link w:val="FooterChar"/>
    <w:uiPriority w:val="99"/>
    <w:rsid w:val="008B5264"/>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rsid w:val="008B5264"/>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425D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5DC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428F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428FF"/>
    <w:rPr>
      <w:color w:val="0000FF"/>
      <w:u w:val="single"/>
    </w:rPr>
  </w:style>
  <w:style w:type="paragraph" w:styleId="ListParagraph">
    <w:name w:val="List Paragraph"/>
    <w:basedOn w:val="Normal"/>
    <w:uiPriority w:val="34"/>
    <w:qFormat/>
    <w:rsid w:val="003428FF"/>
    <w:pPr>
      <w:ind w:left="720"/>
      <w:contextualSpacing/>
    </w:pPr>
  </w:style>
  <w:style w:type="paragraph" w:styleId="Footer">
    <w:name w:val="footer"/>
    <w:basedOn w:val="Normal"/>
    <w:link w:val="FooterChar"/>
    <w:uiPriority w:val="99"/>
    <w:rsid w:val="008B5264"/>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rsid w:val="008B5264"/>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425D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5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7146007">
      <w:bodyDiv w:val="1"/>
      <w:marLeft w:val="0"/>
      <w:marRight w:val="0"/>
      <w:marTop w:val="0"/>
      <w:marBottom w:val="0"/>
      <w:divBdr>
        <w:top w:val="none" w:sz="0" w:space="0" w:color="auto"/>
        <w:left w:val="none" w:sz="0" w:space="0" w:color="auto"/>
        <w:bottom w:val="none" w:sz="0" w:space="0" w:color="auto"/>
        <w:right w:val="none" w:sz="0" w:space="0" w:color="auto"/>
      </w:divBdr>
      <w:divsChild>
        <w:div w:id="6358429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header" Target="header3.xml"/><Relationship Id="rId16" Type="http://schemas.openxmlformats.org/officeDocument/2006/relationships/footer" Target="footer3.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copyright.gov/history/bios/barabara-ringer-special-edition-2009-04.pdf." TargetMode="External"/><Relationship Id="rId10" Type="http://schemas.openxmlformats.org/officeDocument/2006/relationships/hyperlink" Target="http://www.copyright.gov/history/bios/barabara-ringer-special-edition-2009-0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87D70-66DF-EB45-BC1A-20CBB9C2B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4858</Words>
  <Characters>24729</Characters>
  <Application>Microsoft Macintosh Word</Application>
  <DocSecurity>0</DocSecurity>
  <Lines>380</Lines>
  <Paragraphs>75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29512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2012-03-21T23:35:00Z</cp:lastPrinted>
  <dcterms:created xsi:type="dcterms:W3CDTF">2012-04-11T01:49:00Z</dcterms:created>
  <dcterms:modified xsi:type="dcterms:W3CDTF">2012-06-01T20:46:00Z</dcterms:modified>
  <cp:category/>
</cp:coreProperties>
</file>